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C93E3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1B3F6E">
        <w:t>1 października 2021 – 30 września 2024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1B3F6E">
        <w:rPr>
          <w:rFonts w:ascii="Corbel" w:hAnsi="Corbel"/>
          <w:sz w:val="20"/>
          <w:szCs w:val="20"/>
        </w:rPr>
        <w:t>ok akademicki   2021/2022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0C57B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C57B3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0C57B3" w:rsidRDefault="0095745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Antyczne źródła kultury europejski</w:t>
            </w:r>
            <w:r w:rsidR="00BD26A5" w:rsidRPr="000C57B3">
              <w:rPr>
                <w:rFonts w:ascii="Corbel" w:hAnsi="Corbel"/>
                <w:b w:val="0"/>
                <w:sz w:val="24"/>
                <w:szCs w:val="24"/>
              </w:rPr>
              <w:t>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0C57B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C57B3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0C57B3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0C57B3" w:rsidRDefault="00D642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KM10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0C57B3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C57B3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0C57B3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0C57B3" w:rsidRDefault="008B47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C57B3"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0C57B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C57B3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0C57B3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C57B3"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2E5EDB" w:rsidRDefault="001A7F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2E5EDB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5EDB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2E5EDB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5EDB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2E5EDB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5EDB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A04859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4859"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  <w:r w:rsidR="00222EC3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A04859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4859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2E5EDB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5EDB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2E5EDB" w:rsidRDefault="00D642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5EDB">
              <w:rPr>
                <w:rFonts w:ascii="Corbel" w:hAnsi="Corbel"/>
                <w:b w:val="0"/>
                <w:sz w:val="24"/>
                <w:szCs w:val="24"/>
              </w:rPr>
              <w:t>dr Marcin Subczak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2E5EDB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5EDB">
              <w:rPr>
                <w:rFonts w:ascii="Corbel" w:hAnsi="Corbel"/>
                <w:b w:val="0"/>
                <w:sz w:val="24"/>
                <w:szCs w:val="24"/>
              </w:rPr>
              <w:t>dr Marcin Subczak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5251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FD58A0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D58A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5251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B337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3D393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6E1E7A">
        <w:rPr>
          <w:rFonts w:ascii="MS Gothic" w:eastAsia="MS Gothic" w:hAnsi="MS Gothic" w:cs="MS Gothic"/>
          <w:b w:val="0"/>
          <w:szCs w:val="24"/>
        </w:rPr>
        <w:t>x</w:t>
      </w: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FA5875" w:rsidRPr="00FA5875" w:rsidRDefault="00FA5875" w:rsidP="00FA5875">
      <w:pPr>
        <w:pStyle w:val="Punktygwne"/>
        <w:spacing w:before="0" w:after="0"/>
        <w:ind w:firstLine="708"/>
        <w:rPr>
          <w:rFonts w:ascii="Corbel" w:hAnsi="Corbel"/>
          <w:b w:val="0"/>
        </w:rPr>
      </w:pPr>
      <w:r w:rsidRPr="00FA5875">
        <w:rPr>
          <w:rFonts w:ascii="Corbel" w:hAnsi="Corbel"/>
          <w:b w:val="0"/>
        </w:rPr>
        <w:t>Ćwiczenia: zaliczenie z oceną</w:t>
      </w:r>
    </w:p>
    <w:p w:rsidR="00FA5875" w:rsidRPr="00FA5875" w:rsidRDefault="00FA5875" w:rsidP="00FA5875">
      <w:pPr>
        <w:pStyle w:val="Punktygwne"/>
        <w:spacing w:before="0" w:after="0"/>
        <w:ind w:left="708"/>
        <w:rPr>
          <w:rFonts w:ascii="Corbel" w:hAnsi="Corbel"/>
          <w:b w:val="0"/>
        </w:rPr>
      </w:pPr>
      <w:r w:rsidRPr="00FA5875">
        <w:rPr>
          <w:rFonts w:ascii="Corbel" w:hAnsi="Corbel"/>
          <w:b w:val="0"/>
        </w:rPr>
        <w:t>Wykład: egzamin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A1672D" w:rsidRDefault="00A1672D" w:rsidP="00DC3990">
            <w:pPr>
              <w:spacing w:after="0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A1672D">
              <w:rPr>
                <w:rFonts w:ascii="Corbel" w:hAnsi="Corbel"/>
                <w:sz w:val="24"/>
                <w:szCs w:val="24"/>
              </w:rPr>
              <w:t>Student powinien dysponować szczegółową wiedzą historyczną i wiedzą o kulturze na poziomie liceum a także prezentować umiejętność pracy z tekstem literackim i naukowym.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CF150C" w:rsidRDefault="00CF150C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CF150C" w:rsidRPr="00AF4A52" w:rsidTr="00465383">
        <w:tc>
          <w:tcPr>
            <w:tcW w:w="675" w:type="dxa"/>
            <w:vAlign w:val="center"/>
          </w:tcPr>
          <w:p w:rsidR="00CF150C" w:rsidRPr="00CF150C" w:rsidRDefault="00CF150C" w:rsidP="0046538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F150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="00CF150C" w:rsidRPr="00CF150C" w:rsidRDefault="00CF150C" w:rsidP="0046538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F150C">
              <w:rPr>
                <w:rFonts w:ascii="Corbel" w:hAnsi="Corbel"/>
                <w:b w:val="0"/>
                <w:sz w:val="24"/>
                <w:szCs w:val="24"/>
              </w:rPr>
              <w:t>Zaznajomienie z podstawową wiedzą dotyczącą kultury w aspekcie jej genezy i rozwoju</w:t>
            </w:r>
          </w:p>
        </w:tc>
      </w:tr>
      <w:tr w:rsidR="00CF150C" w:rsidRPr="00AF4A52" w:rsidTr="00465383">
        <w:tc>
          <w:tcPr>
            <w:tcW w:w="675" w:type="dxa"/>
            <w:vAlign w:val="center"/>
          </w:tcPr>
          <w:p w:rsidR="00CF150C" w:rsidRPr="00CF150C" w:rsidRDefault="00CF150C" w:rsidP="00465383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F150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:rsidR="00CF150C" w:rsidRPr="00CF150C" w:rsidRDefault="00CF150C" w:rsidP="0046538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F150C">
              <w:rPr>
                <w:rFonts w:ascii="Corbel" w:hAnsi="Corbel"/>
                <w:b w:val="0"/>
                <w:sz w:val="24"/>
                <w:szCs w:val="24"/>
              </w:rPr>
              <w:t>Wskazanie źródeł kultury europejskiej oraz świadomość ich znaczenia i wpływu</w:t>
            </w:r>
          </w:p>
        </w:tc>
      </w:tr>
      <w:tr w:rsidR="00CF150C" w:rsidRPr="00AF4A52" w:rsidTr="00465383">
        <w:tc>
          <w:tcPr>
            <w:tcW w:w="675" w:type="dxa"/>
            <w:vAlign w:val="center"/>
          </w:tcPr>
          <w:p w:rsidR="00CF150C" w:rsidRPr="00CF150C" w:rsidRDefault="00CF150C" w:rsidP="00465383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F150C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:rsidR="00CF150C" w:rsidRPr="00CF150C" w:rsidRDefault="00CF150C" w:rsidP="0046538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F150C">
              <w:rPr>
                <w:rFonts w:ascii="Corbel" w:hAnsi="Corbel"/>
                <w:b w:val="0"/>
                <w:sz w:val="24"/>
                <w:szCs w:val="24"/>
              </w:rPr>
              <w:t xml:space="preserve">Zdefiniowanie wybranych toposów kultury europejskiej oraz umiejętność zidentyfikowania kontekstu ich pochodzenia </w:t>
            </w:r>
          </w:p>
        </w:tc>
      </w:tr>
    </w:tbl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48170A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096" w:type="dxa"/>
          </w:tcPr>
          <w:p w:rsidR="0085747A" w:rsidRPr="0048170A" w:rsidRDefault="0048170A" w:rsidP="0048170A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48170A">
              <w:rPr>
                <w:rFonts w:ascii="Corbel" w:hAnsi="Corbel"/>
                <w:sz w:val="24"/>
                <w:szCs w:val="24"/>
              </w:rPr>
              <w:t>Absolwent zna i rozumie metody analizy i interpretacji różnych wytworów kultury</w:t>
            </w:r>
          </w:p>
        </w:tc>
        <w:tc>
          <w:tcPr>
            <w:tcW w:w="1873" w:type="dxa"/>
          </w:tcPr>
          <w:p w:rsidR="0085747A" w:rsidRPr="009C54AE" w:rsidRDefault="00390D4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39D6">
              <w:rPr>
                <w:rFonts w:ascii="Corbel" w:hAnsi="Corbel"/>
                <w:color w:val="000000" w:themeColor="text1"/>
                <w:sz w:val="20"/>
                <w:szCs w:val="20"/>
              </w:rPr>
              <w:t>K_W06</w:t>
            </w:r>
          </w:p>
        </w:tc>
      </w:tr>
      <w:tr w:rsidR="00390D46" w:rsidRPr="009C54AE" w:rsidTr="005E6E85">
        <w:tc>
          <w:tcPr>
            <w:tcW w:w="1701" w:type="dxa"/>
          </w:tcPr>
          <w:p w:rsidR="00390D46" w:rsidRPr="009C54AE" w:rsidRDefault="007C71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48170A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:rsidR="00390D46" w:rsidRPr="0048170A" w:rsidRDefault="0048170A" w:rsidP="0048170A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48170A">
              <w:rPr>
                <w:rFonts w:ascii="Corbel" w:hAnsi="Corbel"/>
                <w:sz w:val="24"/>
                <w:szCs w:val="24"/>
              </w:rPr>
              <w:t>Absolwent potrafi</w:t>
            </w:r>
            <w:r w:rsidRPr="0048170A">
              <w:rPr>
                <w:rFonts w:ascii="Corbel" w:hAnsi="Corbel"/>
                <w:b/>
                <w:smallCaps/>
                <w:sz w:val="24"/>
                <w:szCs w:val="24"/>
              </w:rPr>
              <w:t xml:space="preserve"> </w:t>
            </w:r>
            <w:r w:rsidRPr="0048170A">
              <w:rPr>
                <w:rFonts w:ascii="Corbel" w:hAnsi="Corbel"/>
                <w:sz w:val="24"/>
                <w:szCs w:val="24"/>
              </w:rPr>
              <w:t>prezentować problemy związane z dziedzinami dotyczącymi komunikacji międzykulturowej, brać udział w debacie</w:t>
            </w:r>
          </w:p>
        </w:tc>
        <w:tc>
          <w:tcPr>
            <w:tcW w:w="1873" w:type="dxa"/>
          </w:tcPr>
          <w:p w:rsidR="00390D46" w:rsidRPr="006639D6" w:rsidRDefault="00390D46" w:rsidP="009C54AE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6639D6">
              <w:rPr>
                <w:rFonts w:ascii="Corbel" w:hAnsi="Corbel"/>
                <w:color w:val="000000" w:themeColor="text1"/>
                <w:sz w:val="20"/>
                <w:szCs w:val="20"/>
              </w:rPr>
              <w:t>K_U09</w:t>
            </w:r>
          </w:p>
        </w:tc>
      </w:tr>
      <w:tr w:rsidR="00390D46" w:rsidRPr="009C54AE" w:rsidTr="005E6E85">
        <w:tc>
          <w:tcPr>
            <w:tcW w:w="1701" w:type="dxa"/>
          </w:tcPr>
          <w:p w:rsidR="00390D46" w:rsidRPr="009C54AE" w:rsidRDefault="007C71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48170A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390D46" w:rsidRPr="0048170A" w:rsidRDefault="0048170A" w:rsidP="0048170A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48170A">
              <w:rPr>
                <w:rFonts w:ascii="Corbel" w:hAnsi="Corbel"/>
                <w:sz w:val="24"/>
                <w:szCs w:val="24"/>
              </w:rPr>
              <w:t>Absolwent jest gotów do uznania wpływu różnych zjawisk na komunikację międzykulturową</w:t>
            </w:r>
          </w:p>
        </w:tc>
        <w:tc>
          <w:tcPr>
            <w:tcW w:w="1873" w:type="dxa"/>
          </w:tcPr>
          <w:p w:rsidR="00390D46" w:rsidRPr="006639D6" w:rsidRDefault="00390D46" w:rsidP="009C54AE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6639D6">
              <w:rPr>
                <w:rFonts w:ascii="Corbel" w:hAnsi="Corbel"/>
                <w:color w:val="000000" w:themeColor="text1"/>
                <w:sz w:val="20"/>
                <w:szCs w:val="20"/>
              </w:rPr>
              <w:t>K_K05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E62FF" w:rsidRPr="00AF4A52" w:rsidTr="00FE62FF">
        <w:tc>
          <w:tcPr>
            <w:tcW w:w="9639" w:type="dxa"/>
          </w:tcPr>
          <w:p w:rsidR="00FE62FF" w:rsidRPr="00AF4A52" w:rsidRDefault="00FE62FF" w:rsidP="00465383">
            <w:pPr>
              <w:pStyle w:val="Akapitzlist"/>
              <w:spacing w:after="0" w:line="240" w:lineRule="auto"/>
              <w:ind w:left="708" w:hanging="708"/>
            </w:pPr>
            <w:r w:rsidRPr="00AF4A52">
              <w:t>Treści merytoryczne</w:t>
            </w:r>
          </w:p>
        </w:tc>
      </w:tr>
      <w:tr w:rsidR="00FE62FF" w:rsidRPr="00AF4A52" w:rsidTr="00FE62FF">
        <w:tc>
          <w:tcPr>
            <w:tcW w:w="9639" w:type="dxa"/>
          </w:tcPr>
          <w:p w:rsidR="00FE62FF" w:rsidRDefault="00FE62FF" w:rsidP="00465383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1. Kultura w aspekcie diachronicznym – jej geneza, kształt i rozwój</w:t>
            </w:r>
          </w:p>
          <w:p w:rsidR="00FE62FF" w:rsidRDefault="00FE62FF" w:rsidP="00465383">
            <w:pPr>
              <w:spacing w:after="0" w:line="240" w:lineRule="auto"/>
              <w:jc w:val="both"/>
            </w:pPr>
            <w:r>
              <w:t xml:space="preserve">Determinanty tożsamości kulturowej i określenie jej istoty; motywy samookreślenia – kryzys i konfrontacja. Europa jako „koncepcja” polityczna, ideologiczna, kulturowa, kontynentalna (geograficzna) oraz jako sposób myślenia – jej statyczność i dynamika.  </w:t>
            </w:r>
          </w:p>
          <w:p w:rsidR="00FE62FF" w:rsidRPr="00786C99" w:rsidRDefault="00FE62FF" w:rsidP="00465383">
            <w:pPr>
              <w:spacing w:after="0" w:line="240" w:lineRule="auto"/>
              <w:jc w:val="both"/>
            </w:pPr>
            <w:r>
              <w:t xml:space="preserve">Kulturowo-cywilizacyjne zapośredniczenia: problem centrów i peryferyjności; ewolucja i adaptacja źródeł kultury. Historia kultury jako geneza, formacja i historia znaczeń – „paradygmatów semantycznych”. </w:t>
            </w:r>
          </w:p>
        </w:tc>
      </w:tr>
      <w:tr w:rsidR="00FE62FF" w:rsidRPr="00AF4A52" w:rsidTr="00FE62FF">
        <w:tc>
          <w:tcPr>
            <w:tcW w:w="9639" w:type="dxa"/>
          </w:tcPr>
          <w:p w:rsidR="00FE62FF" w:rsidRDefault="00FE62FF" w:rsidP="00465383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2. Zróżnicowanie kultur i ich dynamika</w:t>
            </w:r>
          </w:p>
          <w:p w:rsidR="00FE62FF" w:rsidRPr="007E2E86" w:rsidRDefault="00FE62FF" w:rsidP="00465383">
            <w:pPr>
              <w:spacing w:after="0" w:line="240" w:lineRule="auto"/>
              <w:jc w:val="both"/>
            </w:pPr>
            <w:r>
              <w:t xml:space="preserve">Pojęcie „kręgu kulturowego”: rdzeń aksjologiczny, kultury i subkultury; wartości autonomiczne, zinterpretowane i realizowane. Abstrakcyjno-symboliczne uniwersum kultury (idee, pojęcia, znaki, symbole). Mechanizm przechwytywania symboli. </w:t>
            </w:r>
            <w:r>
              <w:rPr>
                <w:i/>
              </w:rPr>
              <w:t xml:space="preserve">Homogeniczne, </w:t>
            </w:r>
            <w:r w:rsidRPr="00DC4849">
              <w:rPr>
                <w:i/>
              </w:rPr>
              <w:t>homeostatyczne</w:t>
            </w:r>
            <w:r>
              <w:rPr>
                <w:i/>
              </w:rPr>
              <w:t xml:space="preserve">  i heterogeniczne </w:t>
            </w:r>
            <w:r>
              <w:t>systemy kultury w aspekcie ich ekspansji.</w:t>
            </w:r>
          </w:p>
        </w:tc>
      </w:tr>
      <w:tr w:rsidR="00FE62FF" w:rsidRPr="00AF4A52" w:rsidTr="00FE62FF">
        <w:tc>
          <w:tcPr>
            <w:tcW w:w="9639" w:type="dxa"/>
          </w:tcPr>
          <w:p w:rsidR="00FE62FF" w:rsidRDefault="00FE62FF" w:rsidP="00465383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3. Kultura europejska jako synteza antycznych tradycji – zarys problemu</w:t>
            </w:r>
          </w:p>
          <w:p w:rsidR="00FE62FF" w:rsidRPr="00E051B6" w:rsidRDefault="00FE62FF" w:rsidP="00465383">
            <w:pPr>
              <w:spacing w:after="0" w:line="240" w:lineRule="auto"/>
              <w:jc w:val="both"/>
            </w:pPr>
            <w:r>
              <w:t xml:space="preserve">Hybrydyczność i synkretyzm kultury europejskiej; przeniknięcie światopoglądu chrześcijańskiego do instytucji politycznych Cesarstwa Rzymskiego (IV w. n.e.); „świat chrześcijański” czyli kompromis pomiędzy pojęciowością judajską i cywilizacją grecko-rzymską. </w:t>
            </w:r>
          </w:p>
        </w:tc>
      </w:tr>
      <w:tr w:rsidR="00FE62FF" w:rsidRPr="00AF4A52" w:rsidTr="00FE62FF">
        <w:tc>
          <w:tcPr>
            <w:tcW w:w="9639" w:type="dxa"/>
          </w:tcPr>
          <w:p w:rsidR="00FE62FF" w:rsidRDefault="00FE62FF" w:rsidP="00465383">
            <w:pPr>
              <w:pStyle w:val="Akapitzlist"/>
              <w:spacing w:after="0" w:line="240" w:lineRule="auto"/>
              <w:ind w:left="0"/>
              <w:jc w:val="both"/>
              <w:rPr>
                <w:b/>
              </w:rPr>
            </w:pPr>
            <w:r>
              <w:rPr>
                <w:b/>
              </w:rPr>
              <w:t>4. Kultury „pre-antyczne” (archaiczne) i ich znaczenie</w:t>
            </w:r>
          </w:p>
          <w:p w:rsidR="00FE62FF" w:rsidRDefault="00FE62FF" w:rsidP="00465383">
            <w:pPr>
              <w:pStyle w:val="Akapitzlist"/>
              <w:spacing w:after="0" w:line="240" w:lineRule="auto"/>
              <w:ind w:left="0"/>
              <w:jc w:val="both"/>
            </w:pPr>
            <w:r>
              <w:t xml:space="preserve">Chiny i podstawowe wyznaczniki cywilizacyjne: pismo, literatura, etykieta. Wierzenia (dualizm światów i </w:t>
            </w:r>
            <w:r>
              <w:lastRenderedPageBreak/>
              <w:t>boskie namaszczenie władcy).</w:t>
            </w:r>
          </w:p>
          <w:p w:rsidR="00FE62FF" w:rsidRDefault="00FE62FF" w:rsidP="00465383">
            <w:pPr>
              <w:pStyle w:val="Akapitzlist"/>
              <w:spacing w:after="0" w:line="240" w:lineRule="auto"/>
              <w:ind w:left="0"/>
              <w:jc w:val="both"/>
            </w:pPr>
            <w:r>
              <w:t>Indie: nauka indyjska i literatura sanskrycka.</w:t>
            </w:r>
          </w:p>
          <w:p w:rsidR="00FE62FF" w:rsidRDefault="00FE62FF" w:rsidP="00465383">
            <w:pPr>
              <w:pStyle w:val="Akapitzlist"/>
              <w:spacing w:after="0" w:line="240" w:lineRule="auto"/>
              <w:ind w:left="0"/>
              <w:jc w:val="both"/>
              <w:rPr>
                <w:i/>
              </w:rPr>
            </w:pPr>
            <w:r>
              <w:t xml:space="preserve">Mezopotamia – Sumerowie i wynalezienie pisma klinowego; państwa-miasta; epos o Gilgameszu; utwory mitologiczne: </w:t>
            </w:r>
            <w:r>
              <w:rPr>
                <w:i/>
              </w:rPr>
              <w:t xml:space="preserve">Enuma elisz </w:t>
            </w:r>
            <w:r>
              <w:t xml:space="preserve">– poemat o stworzeniu. Babilonia (miasto-państwo): religia (bogowie wypowiadają się przez znaki); prawo babilońskie – </w:t>
            </w:r>
            <w:r>
              <w:rPr>
                <w:i/>
              </w:rPr>
              <w:t>Kodeks Hammurabiego</w:t>
            </w:r>
            <w:r>
              <w:t xml:space="preserve"> i jego wpływ na Stary Testament</w:t>
            </w:r>
            <w:r>
              <w:rPr>
                <w:i/>
              </w:rPr>
              <w:t>.</w:t>
            </w:r>
          </w:p>
          <w:p w:rsidR="00FE62FF" w:rsidRDefault="00FE62FF" w:rsidP="00465383">
            <w:pPr>
              <w:pStyle w:val="Akapitzlist"/>
              <w:spacing w:after="0" w:line="240" w:lineRule="auto"/>
              <w:ind w:left="0"/>
              <w:jc w:val="both"/>
            </w:pPr>
            <w:r>
              <w:t>Egipt: Ateny i Jerozolima odwołują się do Egiptu; egipski mit o narodzinach boga-króla jako syna Bożego; egipskie przejście od politeizmu do monoteizmu.</w:t>
            </w:r>
          </w:p>
          <w:p w:rsidR="00FE62FF" w:rsidRPr="005B5350" w:rsidRDefault="00FE62FF" w:rsidP="00465383">
            <w:pPr>
              <w:pStyle w:val="Akapitzlist"/>
              <w:spacing w:after="0" w:line="240" w:lineRule="auto"/>
              <w:ind w:left="0"/>
              <w:jc w:val="both"/>
              <w:rPr>
                <w:b/>
              </w:rPr>
            </w:pPr>
            <w:r>
              <w:t xml:space="preserve">Teza F.M. Cornforda: teogonia Hezjoda jako „brakujące ogniwo” między babilońskimi i hetyckimi mitami a kosmologią Anaksymandra.  </w:t>
            </w:r>
            <w:r>
              <w:rPr>
                <w:i/>
              </w:rPr>
              <w:t xml:space="preserve"> </w:t>
            </w:r>
            <w:r>
              <w:t xml:space="preserve">  </w:t>
            </w:r>
            <w:r>
              <w:rPr>
                <w:b/>
              </w:rPr>
              <w:t xml:space="preserve"> </w:t>
            </w:r>
          </w:p>
        </w:tc>
      </w:tr>
      <w:tr w:rsidR="00FE62FF" w:rsidRPr="00AF4A52" w:rsidTr="00FE62FF">
        <w:tc>
          <w:tcPr>
            <w:tcW w:w="9639" w:type="dxa"/>
          </w:tcPr>
          <w:p w:rsidR="00FE62FF" w:rsidRDefault="00FE62FF" w:rsidP="00465383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>5. Mit i grecka religijność</w:t>
            </w:r>
          </w:p>
          <w:p w:rsidR="00FE62FF" w:rsidRDefault="00FE62FF" w:rsidP="00465383">
            <w:pPr>
              <w:spacing w:after="0" w:line="240" w:lineRule="auto"/>
              <w:jc w:val="both"/>
            </w:pPr>
            <w:r>
              <w:t xml:space="preserve">Mit jako forma międzypokoleniowej łączności. </w:t>
            </w:r>
            <w:r>
              <w:rPr>
                <w:i/>
              </w:rPr>
              <w:t>Mythos</w:t>
            </w:r>
            <w:r>
              <w:t xml:space="preserve">, </w:t>
            </w:r>
            <w:r w:rsidRPr="008E60D7">
              <w:rPr>
                <w:i/>
              </w:rPr>
              <w:t>mytheuo</w:t>
            </w:r>
            <w:r>
              <w:t>/</w:t>
            </w:r>
            <w:r w:rsidRPr="008E60D7">
              <w:rPr>
                <w:i/>
              </w:rPr>
              <w:t>mytheomai</w:t>
            </w:r>
            <w:r>
              <w:t xml:space="preserve"> – mówić, opowiadać – opowieść, opowiadanie, mowa, słowo. </w:t>
            </w:r>
            <w:r w:rsidRPr="008E60D7">
              <w:rPr>
                <w:i/>
              </w:rPr>
              <w:t>Mythologein</w:t>
            </w:r>
            <w:r>
              <w:t xml:space="preserve"> u Platona. Mity: kosmogoniczne, teogoniczne, opowieści o czynach bogów, mity heroiczne. </w:t>
            </w:r>
          </w:p>
          <w:p w:rsidR="00FE62FF" w:rsidRDefault="00FE62FF" w:rsidP="00465383">
            <w:pPr>
              <w:spacing w:after="0" w:line="240" w:lineRule="auto"/>
              <w:jc w:val="both"/>
            </w:pPr>
            <w:r>
              <w:t>Religijność grecka jako sformalizowana obrzędowość, idee, koncepcje, wierzenia i zasady moralne.</w:t>
            </w:r>
          </w:p>
          <w:p w:rsidR="00FE62FF" w:rsidRDefault="00FE62FF" w:rsidP="00465383">
            <w:pPr>
              <w:spacing w:after="0" w:line="240" w:lineRule="auto"/>
              <w:jc w:val="both"/>
            </w:pPr>
            <w:r>
              <w:t xml:space="preserve">Religia: brak objawienia, dogmatów, kasty kapłanów, świętej księgi, </w:t>
            </w:r>
            <w:r w:rsidRPr="003F6FAF">
              <w:rPr>
                <w:i/>
              </w:rPr>
              <w:t>mythoi</w:t>
            </w:r>
            <w:r>
              <w:t xml:space="preserve"> jako nośniki tradycji religijnej, bogowie jako moce i jako część świata (kult świata); jedność tego, co naturalne i „nadnaturalne”; religia państwowa i polityczna – przenikająca całe życie społeczne.</w:t>
            </w:r>
          </w:p>
          <w:p w:rsidR="00FE62FF" w:rsidRPr="003F6FAF" w:rsidRDefault="00FE62FF" w:rsidP="00465383">
            <w:pPr>
              <w:spacing w:after="0" w:line="240" w:lineRule="auto"/>
              <w:jc w:val="both"/>
            </w:pPr>
            <w:r>
              <w:t xml:space="preserve">Bogowie olimpijscy; misteria :  eleuzyńskie, dionizyjskie i prywatne – orfickie. </w:t>
            </w:r>
          </w:p>
        </w:tc>
      </w:tr>
      <w:tr w:rsidR="00FE62FF" w:rsidRPr="00AF4A52" w:rsidTr="00FE62FF">
        <w:tc>
          <w:tcPr>
            <w:tcW w:w="9639" w:type="dxa"/>
          </w:tcPr>
          <w:p w:rsidR="00FE62FF" w:rsidRDefault="00FE62FF" w:rsidP="00465383">
            <w:pPr>
              <w:pStyle w:val="Akapitzlist"/>
              <w:spacing w:after="0" w:line="240" w:lineRule="auto"/>
              <w:ind w:left="0"/>
              <w:jc w:val="both"/>
              <w:rPr>
                <w:b/>
              </w:rPr>
            </w:pPr>
            <w:r>
              <w:rPr>
                <w:b/>
              </w:rPr>
              <w:t>6. Literatura grecka jako refleksja nad człowiekiem</w:t>
            </w:r>
          </w:p>
          <w:p w:rsidR="00FE62FF" w:rsidRPr="00862C23" w:rsidRDefault="00FE62FF" w:rsidP="00465383">
            <w:pPr>
              <w:pStyle w:val="Akapitzlist"/>
              <w:spacing w:after="0" w:line="240" w:lineRule="auto"/>
              <w:ind w:left="0"/>
              <w:jc w:val="both"/>
            </w:pPr>
            <w:r>
              <w:t xml:space="preserve">Okres archaiczny: epika (Homer i Hezjod) – ideał bohatera, ideał rolnika. Liryka ideału indywidualizmu (Archilloch, Alkajos, Anakreont, Safona, Teognis, Simonides, Pindar). Bajki Ezopa. Pisanie historii: Herodot i Tukidydes. Tragedia grecka: Ajschylos, Sofokles, Eurypides.  </w:t>
            </w:r>
          </w:p>
        </w:tc>
      </w:tr>
      <w:tr w:rsidR="00FE62FF" w:rsidRPr="00AF4A52" w:rsidTr="00FE62FF">
        <w:tc>
          <w:tcPr>
            <w:tcW w:w="9639" w:type="dxa"/>
          </w:tcPr>
          <w:p w:rsidR="00FE62FF" w:rsidRDefault="00FE62FF" w:rsidP="00465383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7. Sztuka jako ekspresja greckiego ducha</w:t>
            </w:r>
          </w:p>
          <w:p w:rsidR="00FE62FF" w:rsidRDefault="00FE62FF" w:rsidP="00465383">
            <w:pPr>
              <w:spacing w:after="0" w:line="240" w:lineRule="auto"/>
              <w:jc w:val="both"/>
            </w:pPr>
            <w:r>
              <w:t>Trzy najwyższe wartości (</w:t>
            </w:r>
            <w:r w:rsidRPr="00DB695B">
              <w:t>prawda</w:t>
            </w:r>
            <w:r>
              <w:t>, dobro, piękno); trzy rodzaje czynności i trybów życia (teoria, działanie, twórczość).</w:t>
            </w:r>
          </w:p>
          <w:p w:rsidR="00FE62FF" w:rsidRDefault="00FE62FF" w:rsidP="00465383">
            <w:pPr>
              <w:spacing w:after="0" w:line="240" w:lineRule="auto"/>
              <w:jc w:val="both"/>
            </w:pPr>
            <w:r>
              <w:t>Estetyka starożytna: teoria harmonii, miary i proporcji; teorie piękna (matematyczna, subiektywistyczna, funkcjonalistyczna); teorie przeżyć estetycznych.</w:t>
            </w:r>
          </w:p>
          <w:p w:rsidR="00FE62FF" w:rsidRDefault="00FE62FF" w:rsidP="00465383">
            <w:pPr>
              <w:spacing w:after="0" w:line="240" w:lineRule="auto"/>
              <w:jc w:val="both"/>
            </w:pPr>
            <w:r w:rsidRPr="00A128D8">
              <w:rPr>
                <w:i/>
              </w:rPr>
              <w:t>Mimesis</w:t>
            </w:r>
            <w:r>
              <w:t xml:space="preserve">, </w:t>
            </w:r>
            <w:r w:rsidRPr="00A128D8">
              <w:rPr>
                <w:i/>
              </w:rPr>
              <w:t>katharsis</w:t>
            </w:r>
            <w:r>
              <w:t>.</w:t>
            </w:r>
          </w:p>
          <w:p w:rsidR="00FE62FF" w:rsidRPr="00DB695B" w:rsidRDefault="00FE62FF" w:rsidP="00465383">
            <w:pPr>
              <w:spacing w:after="0" w:line="240" w:lineRule="auto"/>
              <w:jc w:val="both"/>
            </w:pPr>
            <w:r>
              <w:t xml:space="preserve">Architektura, rzeźba, malarstwo, taniec, muzyka i fenomen greckiej tragedii.    </w:t>
            </w:r>
          </w:p>
        </w:tc>
      </w:tr>
      <w:tr w:rsidR="00FE62FF" w:rsidRPr="00D53C81" w:rsidTr="00FE62FF">
        <w:tc>
          <w:tcPr>
            <w:tcW w:w="9639" w:type="dxa"/>
          </w:tcPr>
          <w:p w:rsidR="00FE62FF" w:rsidRDefault="00FE62FF" w:rsidP="00465383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8. Nauka antyczna – nowy sposób traktowania wiedzy</w:t>
            </w:r>
          </w:p>
          <w:p w:rsidR="00FE62FF" w:rsidRDefault="00FE62FF" w:rsidP="00465383">
            <w:pPr>
              <w:spacing w:after="0" w:line="240" w:lineRule="auto"/>
              <w:jc w:val="both"/>
            </w:pPr>
            <w:r>
              <w:t>Wschodnie zapożyczenia: umiejętność prowadzenia rachunków, nawigacja, leczenie, astronomia, arytmetyka, geometria i ich praktyczne zastosowanie. Grecka „rewolucja naukowa” i nadanie im wymiaru spekulatywnego, teoretycznego.</w:t>
            </w:r>
          </w:p>
          <w:p w:rsidR="00FE62FF" w:rsidRDefault="00FE62FF" w:rsidP="00465383">
            <w:pPr>
              <w:spacing w:after="0" w:line="240" w:lineRule="auto"/>
              <w:jc w:val="both"/>
            </w:pPr>
            <w:r>
              <w:t>Nowe – „naukowe” podejście Greków, czyli synteza racjonalizmu i religii: 1. Świat to kompatybilny z umysłem kosmos, 2. Kosmos to wyraz wszechobecnej inteligencji, 3. Wieczny porządek wykracza poza doczesną manifestację – widzialny świat ma ukryte znaczenie (racjonalne i mistyczne), 4. Poznanie ukrytej struktury świata zaspokaja potrzeby duszy.</w:t>
            </w:r>
          </w:p>
          <w:p w:rsidR="00FE62FF" w:rsidRPr="00DC3D07" w:rsidRDefault="00FE62FF" w:rsidP="00465383">
            <w:pPr>
              <w:spacing w:after="0" w:line="240" w:lineRule="auto"/>
              <w:jc w:val="both"/>
            </w:pPr>
            <w:r>
              <w:t>Druga tendencja intelektualna: 1. Prawdziwa wiedza dostępna dzięki rozumowi i empirycznej obserwacji, 2. Jedyna prawda jest w świecie ludzkiego doświadczenia, 3. Przyczyny zjawisk są bezosobowe i fizyczne, 4. Teoria weryfikowana empirycznie, 5. Żaden system nie jest ostateczny, wiedza ludzka jest zawodna i względna, krytycyzm.</w:t>
            </w:r>
          </w:p>
        </w:tc>
      </w:tr>
      <w:tr w:rsidR="00FE62FF" w:rsidRPr="00D53C81" w:rsidTr="00FE62FF">
        <w:tc>
          <w:tcPr>
            <w:tcW w:w="9639" w:type="dxa"/>
          </w:tcPr>
          <w:p w:rsidR="00FE62FF" w:rsidRDefault="00FE62FF" w:rsidP="00465383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9. Filozofia</w:t>
            </w:r>
          </w:p>
          <w:p w:rsidR="00FE62FF" w:rsidRDefault="00FE62FF" w:rsidP="00465383">
            <w:pPr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 xml:space="preserve">Nowa postawa mentalna – zdziwienie, ciekawość i pragnienie poznania. Narodziny filozofii jako dziedziny kultury greckiej. Pytanie o </w:t>
            </w:r>
            <w:r w:rsidRPr="000831DE">
              <w:rPr>
                <w:bCs/>
                <w:i/>
              </w:rPr>
              <w:t>arche</w:t>
            </w:r>
            <w:r>
              <w:rPr>
                <w:bCs/>
              </w:rPr>
              <w:t xml:space="preserve"> i próby rozumiejącego wyjaśnienia świata. Przejście od mitu do </w:t>
            </w:r>
            <w:r w:rsidRPr="000831DE">
              <w:rPr>
                <w:bCs/>
                <w:i/>
              </w:rPr>
              <w:t>logosu</w:t>
            </w:r>
            <w:r>
              <w:rPr>
                <w:bCs/>
              </w:rPr>
              <w:t>. Filozofia jako racjonalizacja rzeczywistości i filozofia jako sztuka życia. Rola filozofii w kulturze i żywotność filozoficznej myśli w dziejach Europy.</w:t>
            </w:r>
          </w:p>
          <w:p w:rsidR="00FE62FF" w:rsidRPr="004115C2" w:rsidRDefault="00FE62FF" w:rsidP="00465383">
            <w:pPr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Filozofia i nowy kształt greckiej etyki. Sokrates i intelektualizm etyczny; relatywizm sofistów; Dobro Platona i dzielność etyczna Arystotelesa.</w:t>
            </w:r>
          </w:p>
        </w:tc>
      </w:tr>
      <w:tr w:rsidR="00FE62FF" w:rsidRPr="00D53C81" w:rsidTr="00FE62FF">
        <w:tc>
          <w:tcPr>
            <w:tcW w:w="9639" w:type="dxa"/>
          </w:tcPr>
          <w:p w:rsidR="00FE62FF" w:rsidRDefault="00FE62FF" w:rsidP="00465383">
            <w:pPr>
              <w:pStyle w:val="Akapitzlist"/>
              <w:spacing w:after="0" w:line="240" w:lineRule="auto"/>
              <w:ind w:left="0"/>
              <w:jc w:val="both"/>
              <w:rPr>
                <w:b/>
              </w:rPr>
            </w:pPr>
            <w:r>
              <w:rPr>
                <w:b/>
              </w:rPr>
              <w:t>10. Antyczne koncepcje społeczno-polityczne</w:t>
            </w:r>
          </w:p>
          <w:p w:rsidR="00FE62FF" w:rsidRPr="00807749" w:rsidRDefault="00FE62FF" w:rsidP="00465383">
            <w:pPr>
              <w:pStyle w:val="Akapitzlist"/>
              <w:spacing w:after="0" w:line="240" w:lineRule="auto"/>
              <w:ind w:left="0"/>
              <w:jc w:val="both"/>
            </w:pPr>
            <w:r>
              <w:t xml:space="preserve">Teorie ustrojów politycznych. Demokracja ateńska i ideał obywatelski. </w:t>
            </w:r>
            <w:r>
              <w:rPr>
                <w:i/>
              </w:rPr>
              <w:t>Polis</w:t>
            </w:r>
            <w:r>
              <w:t xml:space="preserve"> – nowa przestrzeń społeczna. Medyczne antecedencje koncepcji politycznych. Podstawowe wolności i prawa człowieka – ideał wolnego obywatela. Prawa i obowiązku obywatela. </w:t>
            </w:r>
            <w:r w:rsidRPr="00807749">
              <w:rPr>
                <w:i/>
              </w:rPr>
              <w:t>Agora</w:t>
            </w:r>
            <w:r>
              <w:t xml:space="preserve"> – środowisko życia publicznego. Słowo-dialog-</w:t>
            </w:r>
            <w:r>
              <w:lastRenderedPageBreak/>
              <w:t xml:space="preserve">perswazja; rola pisma. Sposoby uczestnictwa w życiu społecznym. </w:t>
            </w:r>
            <w:r w:rsidRPr="00807749">
              <w:rPr>
                <w:i/>
              </w:rPr>
              <w:t>Zoon politikon</w:t>
            </w:r>
            <w:r>
              <w:t xml:space="preserve"> – racje i konsekwencje.</w:t>
            </w:r>
          </w:p>
        </w:tc>
      </w:tr>
      <w:tr w:rsidR="00FE62FF" w:rsidRPr="00D53C81" w:rsidTr="00FE62FF">
        <w:tc>
          <w:tcPr>
            <w:tcW w:w="9639" w:type="dxa"/>
          </w:tcPr>
          <w:p w:rsidR="00FE62FF" w:rsidRDefault="00FE62FF" w:rsidP="00465383">
            <w:pPr>
              <w:pStyle w:val="Akapitzlist"/>
              <w:spacing w:after="0" w:line="240" w:lineRule="auto"/>
              <w:ind w:left="0"/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11. Grecka </w:t>
            </w:r>
            <w:r w:rsidRPr="001C08C0">
              <w:rPr>
                <w:b/>
                <w:i/>
              </w:rPr>
              <w:t>paideia</w:t>
            </w:r>
            <w:r>
              <w:rPr>
                <w:b/>
              </w:rPr>
              <w:t xml:space="preserve"> fundamentem europejskiej tradycji wychowawczej</w:t>
            </w:r>
          </w:p>
          <w:p w:rsidR="00FE62FF" w:rsidRPr="001C08C0" w:rsidRDefault="00FE62FF" w:rsidP="00465383">
            <w:pPr>
              <w:pStyle w:val="Akapitzlist"/>
              <w:spacing w:after="0" w:line="240" w:lineRule="auto"/>
              <w:ind w:left="0"/>
              <w:jc w:val="both"/>
            </w:pPr>
            <w:r>
              <w:t xml:space="preserve">Sofiści i problem nauczania </w:t>
            </w:r>
            <w:r w:rsidRPr="001C08C0">
              <w:rPr>
                <w:i/>
              </w:rPr>
              <w:t>arete</w:t>
            </w:r>
            <w:r>
              <w:t xml:space="preserve">. </w:t>
            </w:r>
            <w:r w:rsidRPr="001C08C0">
              <w:rPr>
                <w:i/>
              </w:rPr>
              <w:t>Kalokagathia</w:t>
            </w:r>
            <w:r>
              <w:t xml:space="preserve">. </w:t>
            </w:r>
            <w:r w:rsidRPr="001C08C0">
              <w:rPr>
                <w:i/>
              </w:rPr>
              <w:t>Paideia</w:t>
            </w:r>
            <w:r>
              <w:t xml:space="preserve"> jako metoda dojścia do pełni i doskonałości człowieczeństwa. Filozofia człowieka i etyka u podstaw wychowania. Różne modele wychowawcze: </w:t>
            </w:r>
            <w:r w:rsidRPr="00816E51">
              <w:rPr>
                <w:i/>
              </w:rPr>
              <w:t>arete</w:t>
            </w:r>
            <w:r>
              <w:t xml:space="preserve"> heroiczna, obyczajowa, prawnicza, polityczna, indywidualna, obywatelska, ludzi szlachetnych, ubóstwiona, jako piękno moralne, jako zdrowie duszy, zdemokratyzowana.</w:t>
            </w:r>
          </w:p>
        </w:tc>
      </w:tr>
      <w:tr w:rsidR="00FE62FF" w:rsidRPr="00D53C81" w:rsidTr="00FE62FF">
        <w:tc>
          <w:tcPr>
            <w:tcW w:w="9639" w:type="dxa"/>
          </w:tcPr>
          <w:p w:rsidR="00FE62FF" w:rsidRDefault="00FE62FF" w:rsidP="00465383">
            <w:pPr>
              <w:pStyle w:val="Akapitzlist"/>
              <w:spacing w:after="0" w:line="240" w:lineRule="auto"/>
              <w:ind w:left="0"/>
              <w:jc w:val="both"/>
              <w:rPr>
                <w:b/>
              </w:rPr>
            </w:pPr>
            <w:r>
              <w:rPr>
                <w:b/>
              </w:rPr>
              <w:t>12. Rzym okresu republiki oraz cesarstwa</w:t>
            </w:r>
          </w:p>
          <w:p w:rsidR="00FE62FF" w:rsidRPr="006E716D" w:rsidRDefault="00FE62FF" w:rsidP="00465383">
            <w:pPr>
              <w:pStyle w:val="Akapitzlist"/>
              <w:spacing w:after="0" w:line="240" w:lineRule="auto"/>
              <w:ind w:left="0"/>
              <w:jc w:val="both"/>
            </w:pPr>
            <w:r>
              <w:t xml:space="preserve">Prawo rzymskie i sądy – podstawowe wartości i wolności obywatelskie (żyć godnie, nie szkodzić drugiemu, dać każdemu, co mu się należy). Organizacja sądów, wojska i miast. Ekspansja polityczna, militarna, architektoniczna. Medycyna i poszerzenie katalogu </w:t>
            </w:r>
            <w:r>
              <w:rPr>
                <w:i/>
              </w:rPr>
              <w:t>siedmiu sztuk wyzwolonych.</w:t>
            </w:r>
            <w:r>
              <w:t xml:space="preserve"> Mitologia, religia, igrzyska, teatr i sport. Alfabet łaciński i literatura  rzymska, historia, retoryka.  </w:t>
            </w:r>
          </w:p>
        </w:tc>
      </w:tr>
      <w:tr w:rsidR="00FE62FF" w:rsidRPr="00D53C81" w:rsidTr="00FE62FF">
        <w:tc>
          <w:tcPr>
            <w:tcW w:w="9639" w:type="dxa"/>
          </w:tcPr>
          <w:p w:rsidR="00FE62FF" w:rsidRPr="005F38D3" w:rsidRDefault="00FE62FF" w:rsidP="00465383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 xml:space="preserve">13. </w:t>
            </w:r>
            <w:r w:rsidRPr="00DF219E">
              <w:rPr>
                <w:b/>
              </w:rPr>
              <w:t xml:space="preserve">Tradycja judeochrześcijańska i dziedzictwo </w:t>
            </w:r>
            <w:r w:rsidRPr="00DF219E">
              <w:rPr>
                <w:b/>
                <w:i/>
              </w:rPr>
              <w:t>Biblii</w:t>
            </w:r>
            <w:r>
              <w:rPr>
                <w:b/>
              </w:rPr>
              <w:t>. Zmiana obrazu świata</w:t>
            </w:r>
          </w:p>
          <w:p w:rsidR="00FE62FF" w:rsidRDefault="00FE62FF" w:rsidP="00465383">
            <w:pPr>
              <w:spacing w:after="0" w:line="240" w:lineRule="auto"/>
              <w:jc w:val="both"/>
            </w:pPr>
            <w:r>
              <w:t xml:space="preserve">Religia jako </w:t>
            </w:r>
            <w:r w:rsidRPr="002A46EC">
              <w:rPr>
                <w:i/>
              </w:rPr>
              <w:t>protoforma</w:t>
            </w:r>
            <w:r>
              <w:t xml:space="preserve"> kultury. Kultura żydowska a judaizm, cywilizacja zachodu a chrześcijaństwo, cywilizacja arabska a islam. Religie „Księgi”.</w:t>
            </w:r>
          </w:p>
          <w:p w:rsidR="00FE62FF" w:rsidRDefault="00FE62FF" w:rsidP="00465383">
            <w:pPr>
              <w:spacing w:after="0" w:line="240" w:lineRule="auto"/>
              <w:jc w:val="both"/>
            </w:pPr>
            <w:r>
              <w:t xml:space="preserve">Monoteizm; Objawienie; transcendencja Boga i Trójca Święta; dogmatyka; nauczanie i wiara; nurty platońsko-augustyńskie i arystotelesowsko-tomistyczne w filozofii i teologii chrześcijańskiej. </w:t>
            </w:r>
          </w:p>
          <w:p w:rsidR="00FE62FF" w:rsidRPr="00E13D1B" w:rsidRDefault="00FE62FF" w:rsidP="00465383">
            <w:pPr>
              <w:spacing w:after="0" w:line="240" w:lineRule="auto"/>
              <w:jc w:val="both"/>
            </w:pPr>
            <w:r>
              <w:t xml:space="preserve">Problem „początku” – </w:t>
            </w:r>
            <w:r>
              <w:rPr>
                <w:i/>
              </w:rPr>
              <w:t>c</w:t>
            </w:r>
            <w:r w:rsidRPr="00E13D1B">
              <w:rPr>
                <w:i/>
              </w:rPr>
              <w:t>r</w:t>
            </w:r>
            <w:r>
              <w:rPr>
                <w:i/>
              </w:rPr>
              <w:t>e</w:t>
            </w:r>
            <w:r w:rsidRPr="00E13D1B">
              <w:rPr>
                <w:i/>
              </w:rPr>
              <w:t>atio ex nihilo</w:t>
            </w:r>
            <w:r>
              <w:t>; czas linearny i koniec dziejów; osoba; wiara i rozum; kreacjonizm; sacrum i profanum; natura jako odzwierciedlenie prawdziwej rzeczywistości.</w:t>
            </w:r>
          </w:p>
        </w:tc>
      </w:tr>
      <w:tr w:rsidR="00FE62FF" w:rsidRPr="00D53C81" w:rsidTr="00FE62FF">
        <w:tc>
          <w:tcPr>
            <w:tcW w:w="9639" w:type="dxa"/>
          </w:tcPr>
          <w:p w:rsidR="00FE62FF" w:rsidRPr="005F38D3" w:rsidRDefault="00FE62FF" w:rsidP="00465383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 xml:space="preserve">14. </w:t>
            </w:r>
            <w:r w:rsidRPr="00DF219E">
              <w:rPr>
                <w:b/>
              </w:rPr>
              <w:t xml:space="preserve">Tradycja judeochrześcijańska i dziedzictwo </w:t>
            </w:r>
            <w:r w:rsidRPr="00DF219E">
              <w:rPr>
                <w:b/>
                <w:i/>
              </w:rPr>
              <w:t>Biblii</w:t>
            </w:r>
            <w:r>
              <w:rPr>
                <w:b/>
              </w:rPr>
              <w:t>. Nowa moralność</w:t>
            </w:r>
          </w:p>
          <w:p w:rsidR="00FE62FF" w:rsidRPr="00E13D1B" w:rsidRDefault="00FE62FF" w:rsidP="00465383">
            <w:pPr>
              <w:spacing w:after="0" w:line="240" w:lineRule="auto"/>
              <w:jc w:val="both"/>
            </w:pPr>
            <w:r>
              <w:t xml:space="preserve">Bóg osobowy i transcendentny (relacja ojcowska, synowska i braterska); </w:t>
            </w:r>
            <w:r w:rsidRPr="00E13D1B">
              <w:rPr>
                <w:i/>
              </w:rPr>
              <w:t>Dekalog</w:t>
            </w:r>
            <w:r>
              <w:t xml:space="preserve"> – powinności wobec Boga, siebie i drugiego; nowa relacja i nowy fundament etyczny: miłość bliźniego (</w:t>
            </w:r>
            <w:r w:rsidRPr="006141C4">
              <w:rPr>
                <w:i/>
              </w:rPr>
              <w:t>agape</w:t>
            </w:r>
            <w:r>
              <w:t xml:space="preserve">) i miłosierdzie. Odkupienie; zbawienie; eschatologia: niebo (nagroda), czyściec, piekło (kara) i ich antyczne antecedencje. Bóg jako dawca życia; Opatrzność. Życie ludzkie jako pielgrzymka. Śmierć jako przejście do nowego życia. </w:t>
            </w:r>
          </w:p>
        </w:tc>
      </w:tr>
      <w:tr w:rsidR="00FE62FF" w:rsidRPr="00D53C81" w:rsidTr="00FE62FF">
        <w:tc>
          <w:tcPr>
            <w:tcW w:w="9639" w:type="dxa"/>
          </w:tcPr>
          <w:p w:rsidR="00FE62FF" w:rsidRDefault="00FE62FF" w:rsidP="00465383">
            <w:pPr>
              <w:pStyle w:val="Akapitzlist"/>
              <w:spacing w:after="0" w:line="240" w:lineRule="auto"/>
              <w:ind w:left="0"/>
              <w:jc w:val="both"/>
              <w:rPr>
                <w:b/>
              </w:rPr>
            </w:pPr>
            <w:r>
              <w:rPr>
                <w:b/>
              </w:rPr>
              <w:t>15. Antyczne toposy (symbole) i archetypy (prawzorce, paradygmaty) jako tworzywo europejskiej kultury i sztuki</w:t>
            </w:r>
          </w:p>
          <w:p w:rsidR="00FE62FF" w:rsidRPr="004858AA" w:rsidRDefault="00FE62FF" w:rsidP="00465383">
            <w:pPr>
              <w:pStyle w:val="Akapitzlist"/>
              <w:spacing w:after="0" w:line="240" w:lineRule="auto"/>
              <w:ind w:left="0"/>
              <w:jc w:val="both"/>
            </w:pPr>
            <w:r>
              <w:t>Ukryty sens świata i odkrywanie przez symbol. Obraz i wymykające się bezpośrednie doświadczenie. Znak i specyfika symbolu. Symbole jako warstwy światopoglądu – prasymbole i warstwy głębokie (światło, ciemność, woda, ogień, drzewo, góra, droga, jaskinia).</w:t>
            </w:r>
          </w:p>
          <w:p w:rsidR="00FE62FF" w:rsidRDefault="00FE62FF" w:rsidP="00465383">
            <w:pPr>
              <w:pStyle w:val="Akapitzlist"/>
              <w:spacing w:after="0" w:line="240" w:lineRule="auto"/>
              <w:ind w:left="0"/>
              <w:jc w:val="both"/>
            </w:pPr>
            <w:r>
              <w:t>Archetypy: Niobe, Prometeusz, Dedal, Ikar, Narcyz.</w:t>
            </w:r>
          </w:p>
          <w:p w:rsidR="00FE62FF" w:rsidRDefault="00FE62FF" w:rsidP="00465383">
            <w:pPr>
              <w:pStyle w:val="Akapitzlist"/>
              <w:spacing w:after="0" w:line="240" w:lineRule="auto"/>
              <w:ind w:left="0"/>
              <w:jc w:val="both"/>
            </w:pPr>
            <w:r>
              <w:t>Toposy: chaos, Parnas, Labirynt, Hades, Tartar, Wyspy Szczęśliwe, Pola Elizejskie, Arkadia.</w:t>
            </w:r>
          </w:p>
          <w:p w:rsidR="00FE62FF" w:rsidRPr="00BD29C7" w:rsidRDefault="00FE62FF" w:rsidP="00465383">
            <w:pPr>
              <w:pStyle w:val="Akapitzlist"/>
              <w:spacing w:after="0" w:line="240" w:lineRule="auto"/>
              <w:ind w:left="0"/>
              <w:jc w:val="both"/>
            </w:pPr>
            <w:r>
              <w:t>Wybrane symbole tradycji Judeo-chrześcijańskiej: baranek, brama, dom, kamień, kielich, królestwo, krzyż, ofiara, ołtarz, pasterz, pustynia, wąż.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572847" w:rsidRDefault="0085747A" w:rsidP="0057284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72847" w:rsidRPr="00AF4A52" w:rsidTr="00572847">
        <w:tc>
          <w:tcPr>
            <w:tcW w:w="9639" w:type="dxa"/>
          </w:tcPr>
          <w:p w:rsidR="00572847" w:rsidRPr="00AF4A52" w:rsidRDefault="00572847" w:rsidP="00465383">
            <w:pPr>
              <w:pStyle w:val="Akapitzlist"/>
              <w:spacing w:after="0" w:line="240" w:lineRule="auto"/>
              <w:ind w:left="708" w:hanging="708"/>
            </w:pPr>
            <w:r w:rsidRPr="00AF4A52">
              <w:t>Treści merytoryczne</w:t>
            </w:r>
            <w:r>
              <w:t xml:space="preserve"> (ćwiczenia)</w:t>
            </w:r>
          </w:p>
        </w:tc>
      </w:tr>
      <w:tr w:rsidR="00572847" w:rsidRPr="00AF4A52" w:rsidTr="00572847">
        <w:tc>
          <w:tcPr>
            <w:tcW w:w="9639" w:type="dxa"/>
          </w:tcPr>
          <w:p w:rsidR="00572847" w:rsidRDefault="00572847" w:rsidP="00465383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1. Ocalić przeszłość – czyli dziedzictwo, tradycja i pamięć historyczna</w:t>
            </w:r>
          </w:p>
          <w:p w:rsidR="00572847" w:rsidRDefault="00572847" w:rsidP="00465383">
            <w:pPr>
              <w:pStyle w:val="Akapitzlist"/>
              <w:spacing w:after="0" w:line="240" w:lineRule="auto"/>
              <w:ind w:left="0"/>
              <w:jc w:val="both"/>
            </w:pPr>
            <w:r>
              <w:t xml:space="preserve">Dziedzictwo jako forma posiadania przeszłości i jako symboliczna forma posiadania tożsamości (świadomości przynależności); budowanie przeszłości i transmisja dziedzictwa; dziedzictwo jako dobro kultury; miejsca pamięci i narracja o przeszłości; specyfika ponowoczesnej narracji historycznej (perswazyjność, subiektywność, fragmentaryczność, lokalność, ambiwalencja). Konstruowanie dziedzictwa – utrata i troska. </w:t>
            </w:r>
          </w:p>
          <w:p w:rsidR="00572847" w:rsidRPr="00557014" w:rsidRDefault="00572847" w:rsidP="00465383">
            <w:pPr>
              <w:pStyle w:val="Akapitzlist"/>
              <w:spacing w:after="0" w:line="240" w:lineRule="auto"/>
              <w:ind w:left="0"/>
              <w:jc w:val="both"/>
            </w:pPr>
            <w:r>
              <w:t xml:space="preserve">Kowalski K., </w:t>
            </w:r>
            <w:r>
              <w:rPr>
                <w:i/>
              </w:rPr>
              <w:t>O istocie dziedzictwa europejskiego – rozważania</w:t>
            </w:r>
            <w:r>
              <w:t xml:space="preserve">, Międzynarodowe Centrum Kultury, Kraków 2013, s. 79-112  </w:t>
            </w:r>
          </w:p>
        </w:tc>
      </w:tr>
      <w:tr w:rsidR="00572847" w:rsidRPr="00AF4A52" w:rsidTr="00572847">
        <w:tc>
          <w:tcPr>
            <w:tcW w:w="9639" w:type="dxa"/>
          </w:tcPr>
          <w:p w:rsidR="00572847" w:rsidRPr="0045418D" w:rsidRDefault="00572847" w:rsidP="00465383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2. Jak myśleli Grecy? Znaczenie i rozumienie – problem przekazu idei kulturowych</w:t>
            </w:r>
          </w:p>
          <w:p w:rsidR="00572847" w:rsidRDefault="00572847" w:rsidP="00465383">
            <w:pPr>
              <w:spacing w:after="0" w:line="240" w:lineRule="auto"/>
              <w:jc w:val="both"/>
            </w:pPr>
            <w:r>
              <w:t xml:space="preserve">Teza W.K.C. Guthrie: idee greckie spotykane w galerii „krzywych luster”. Charakterystyczne cechy i różnice greckiego sposób umyślenia. Rola języka – historia i znaczenie pojęć. Przykłady: </w:t>
            </w:r>
            <w:r w:rsidRPr="00E1299E">
              <w:rPr>
                <w:i/>
              </w:rPr>
              <w:t>dike</w:t>
            </w:r>
            <w:r>
              <w:t xml:space="preserve">, </w:t>
            </w:r>
            <w:r w:rsidRPr="00E1299E">
              <w:rPr>
                <w:i/>
              </w:rPr>
              <w:t>arete</w:t>
            </w:r>
            <w:r>
              <w:t xml:space="preserve">, </w:t>
            </w:r>
            <w:r>
              <w:rPr>
                <w:i/>
              </w:rPr>
              <w:t>theo</w:t>
            </w:r>
            <w:r w:rsidRPr="00E1299E">
              <w:rPr>
                <w:i/>
              </w:rPr>
              <w:t>s</w:t>
            </w:r>
            <w:r>
              <w:t>. Teza Levy-Bruhl’a o „mentalności przedlogicznej”.</w:t>
            </w:r>
          </w:p>
          <w:p w:rsidR="00572847" w:rsidRPr="00AF4A52" w:rsidRDefault="00572847" w:rsidP="00465383">
            <w:pPr>
              <w:spacing w:after="0" w:line="240" w:lineRule="auto"/>
              <w:jc w:val="both"/>
            </w:pPr>
            <w:r>
              <w:t xml:space="preserve">Guthrie W.K.C., </w:t>
            </w:r>
            <w:r>
              <w:rPr>
                <w:i/>
              </w:rPr>
              <w:t>Filozofowie greccy od Talesa do Arystotelesa</w:t>
            </w:r>
            <w:r>
              <w:t xml:space="preserve">, przeł. A. Pawelec, Znak, Kraków 1996, s. 5-20   </w:t>
            </w:r>
          </w:p>
        </w:tc>
      </w:tr>
      <w:tr w:rsidR="00572847" w:rsidRPr="00AF4A52" w:rsidTr="00572847">
        <w:tc>
          <w:tcPr>
            <w:tcW w:w="9639" w:type="dxa"/>
          </w:tcPr>
          <w:p w:rsidR="00572847" w:rsidRDefault="00572847" w:rsidP="00465383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3. Europa wartości – podstawowe cechy intelektualizmu europejskiego</w:t>
            </w:r>
          </w:p>
          <w:p w:rsidR="00572847" w:rsidRDefault="00572847" w:rsidP="00465383">
            <w:pPr>
              <w:spacing w:after="0" w:line="240" w:lineRule="auto"/>
              <w:jc w:val="both"/>
            </w:pPr>
            <w:r>
              <w:t xml:space="preserve">Problem absolutyzmu i uniwersalizmu wartości; Prawda, Dobro, Piękno; „chrześcijaństwo cywilizacyjne” w procesie duchowego rozwoju ludzkości; indywidualizm liberalny jako zaprzeczenie absolutyzmu </w:t>
            </w:r>
            <w:r>
              <w:lastRenderedPageBreak/>
              <w:t>wartości – problem wolności.</w:t>
            </w:r>
          </w:p>
          <w:p w:rsidR="00572847" w:rsidRPr="00E2675A" w:rsidRDefault="00572847" w:rsidP="00465383">
            <w:pPr>
              <w:spacing w:after="0" w:line="240" w:lineRule="auto"/>
              <w:jc w:val="both"/>
            </w:pPr>
            <w:r>
              <w:t xml:space="preserve">Grzegorczyk A., </w:t>
            </w:r>
            <w:r>
              <w:rPr>
                <w:i/>
              </w:rPr>
              <w:t>Europa wartości</w:t>
            </w:r>
            <w:r>
              <w:t xml:space="preserve">, w: M. Jędraszewski, M. Loba, D. Jewdokimow (red.), </w:t>
            </w:r>
            <w:r>
              <w:rPr>
                <w:i/>
              </w:rPr>
              <w:t>Fenomen ducha Europy</w:t>
            </w:r>
            <w:r>
              <w:t xml:space="preserve">, Wydawnictwo Naukowe UAM, Poznań 2010, s. 11-32 </w:t>
            </w:r>
            <w:r>
              <w:rPr>
                <w:b/>
              </w:rPr>
              <w:t xml:space="preserve"> </w:t>
            </w:r>
          </w:p>
        </w:tc>
      </w:tr>
      <w:tr w:rsidR="00572847" w:rsidRPr="00AF4A52" w:rsidTr="00572847">
        <w:tc>
          <w:tcPr>
            <w:tcW w:w="9639" w:type="dxa"/>
          </w:tcPr>
          <w:p w:rsidR="00572847" w:rsidRPr="00800E65" w:rsidRDefault="00572847" w:rsidP="00465383">
            <w:pPr>
              <w:spacing w:after="0" w:line="240" w:lineRule="auto"/>
              <w:jc w:val="both"/>
              <w:rPr>
                <w:b/>
              </w:rPr>
            </w:pPr>
            <w:r w:rsidRPr="00800E65">
              <w:rPr>
                <w:b/>
              </w:rPr>
              <w:lastRenderedPageBreak/>
              <w:t>4. Dzieje filozofii jako dziedziny kultury</w:t>
            </w:r>
          </w:p>
          <w:p w:rsidR="00572847" w:rsidRPr="00800E65" w:rsidRDefault="00572847" w:rsidP="00465383">
            <w:pPr>
              <w:spacing w:after="0" w:line="240" w:lineRule="auto"/>
              <w:jc w:val="both"/>
            </w:pPr>
            <w:r w:rsidRPr="00800E65">
              <w:t xml:space="preserve">Filozofowanie jako uniwersalny sposób bycia człowieka i filozofia jako konieczny element kultury. Kulturowe uwarunkowania genezy filozofii i ewolucja jej roli jako dyscypliny kulturotwórczej. Kultury filozoficzne i niefilozoficzne. </w:t>
            </w:r>
          </w:p>
          <w:p w:rsidR="00572847" w:rsidRPr="007774EE" w:rsidRDefault="00572847" w:rsidP="00465383">
            <w:pPr>
              <w:spacing w:after="0" w:line="240" w:lineRule="auto"/>
              <w:jc w:val="both"/>
            </w:pPr>
            <w:r w:rsidRPr="00800E65">
              <w:t xml:space="preserve">Zachariasz A.L., </w:t>
            </w:r>
            <w:r w:rsidRPr="00800E65">
              <w:rPr>
                <w:i/>
              </w:rPr>
              <w:t>Filozofia. Jej istota i funkcje</w:t>
            </w:r>
            <w:r w:rsidRPr="00800E65">
              <w:t>, Wydawnictwo Uniwersytetu Rzeszowskiego, Rzeszów 2002, s. 19-27</w:t>
            </w:r>
          </w:p>
        </w:tc>
      </w:tr>
      <w:tr w:rsidR="00572847" w:rsidRPr="00AF4A52" w:rsidTr="00572847">
        <w:tc>
          <w:tcPr>
            <w:tcW w:w="9639" w:type="dxa"/>
          </w:tcPr>
          <w:p w:rsidR="00572847" w:rsidRDefault="00572847" w:rsidP="00465383">
            <w:pPr>
              <w:spacing w:after="0" w:line="240" w:lineRule="auto"/>
              <w:ind w:right="77"/>
              <w:rPr>
                <w:b/>
              </w:rPr>
            </w:pPr>
            <w:r w:rsidRPr="00EF2BAB">
              <w:rPr>
                <w:b/>
              </w:rPr>
              <w:t xml:space="preserve">5. </w:t>
            </w:r>
            <w:r>
              <w:rPr>
                <w:b/>
              </w:rPr>
              <w:t xml:space="preserve">Mit – łącznik tradycji i współczesności. Symbolika i hermeneutyka </w:t>
            </w:r>
            <w:r>
              <w:rPr>
                <w:b/>
                <w:i/>
              </w:rPr>
              <w:t>Mitu Syzyfa</w:t>
            </w:r>
            <w:r>
              <w:rPr>
                <w:b/>
              </w:rPr>
              <w:t xml:space="preserve"> Alberta Camus</w:t>
            </w:r>
          </w:p>
          <w:p w:rsidR="00572847" w:rsidRDefault="00572847" w:rsidP="00465383">
            <w:pPr>
              <w:spacing w:after="0" w:line="240" w:lineRule="auto"/>
              <w:ind w:right="77"/>
            </w:pPr>
            <w:r>
              <w:t xml:space="preserve">Absurd i samobójstwo; absurdalne mury – człowiek rozdarty; absurdalna logika i samobójstwo filozoficzne; wolność absurdalna – żyć i myśleć w rozdarciu; człowiek absurdalny; twórczość absurdalna; </w:t>
            </w:r>
          </w:p>
          <w:p w:rsidR="00572847" w:rsidRPr="00577B97" w:rsidRDefault="00572847" w:rsidP="00465383">
            <w:pPr>
              <w:spacing w:after="0" w:line="240" w:lineRule="auto"/>
              <w:ind w:right="77"/>
            </w:pPr>
            <w:r>
              <w:t xml:space="preserve">Camus A., </w:t>
            </w:r>
            <w:r>
              <w:rPr>
                <w:i/>
              </w:rPr>
              <w:t>Mit Syzyfa</w:t>
            </w:r>
            <w:r>
              <w:t xml:space="preserve">, w: tenże, </w:t>
            </w:r>
            <w:r>
              <w:rPr>
                <w:i/>
              </w:rPr>
              <w:t>Mit Syzyfa i inne eseje</w:t>
            </w:r>
            <w:r>
              <w:t>, przeł. J. Guze, Muza, Warszawa 1999, s. 58-149</w:t>
            </w:r>
          </w:p>
        </w:tc>
      </w:tr>
      <w:tr w:rsidR="00572847" w:rsidRPr="00AF4A52" w:rsidTr="00572847">
        <w:tc>
          <w:tcPr>
            <w:tcW w:w="9639" w:type="dxa"/>
          </w:tcPr>
          <w:p w:rsidR="00572847" w:rsidRDefault="00572847" w:rsidP="00465383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6. Antyczna eschatologia – mityczne wyobrażenia śmierci</w:t>
            </w:r>
          </w:p>
          <w:p w:rsidR="00572847" w:rsidRDefault="00572847" w:rsidP="00465383">
            <w:pPr>
              <w:spacing w:after="0" w:line="240" w:lineRule="auto"/>
              <w:jc w:val="both"/>
            </w:pPr>
            <w:r>
              <w:t>Dusza, Dionizos i homerycki Hades i Pola Elizejskie. Demokryt i Platon na temat śmierci.</w:t>
            </w:r>
            <w:r>
              <w:rPr>
                <w:b/>
              </w:rPr>
              <w:t xml:space="preserve"> </w:t>
            </w:r>
            <w:r w:rsidRPr="00F833DF">
              <w:t>Problem nieśmiertelności</w:t>
            </w:r>
            <w:r>
              <w:t xml:space="preserve"> i pośmiertne losy duszy</w:t>
            </w:r>
            <w:r w:rsidRPr="00F833DF">
              <w:t>.</w:t>
            </w:r>
            <w:r>
              <w:rPr>
                <w:b/>
              </w:rPr>
              <w:t xml:space="preserve"> </w:t>
            </w:r>
            <w:r>
              <w:t>Kult zmarłych i Hermes Psychopompos.</w:t>
            </w:r>
          </w:p>
          <w:p w:rsidR="00572847" w:rsidRPr="00220211" w:rsidRDefault="00572847" w:rsidP="00465383">
            <w:pPr>
              <w:spacing w:after="0" w:line="240" w:lineRule="auto"/>
              <w:jc w:val="both"/>
            </w:pPr>
            <w:r>
              <w:t xml:space="preserve">Lengauer W., </w:t>
            </w:r>
            <w:r>
              <w:rPr>
                <w:i/>
              </w:rPr>
              <w:t>Religijność starożytnych Greków</w:t>
            </w:r>
            <w:r>
              <w:t xml:space="preserve">, PWN, Warszawa 1994, s. 181-206 </w:t>
            </w:r>
          </w:p>
        </w:tc>
      </w:tr>
      <w:tr w:rsidR="00572847" w:rsidRPr="00AF4A52" w:rsidTr="00572847">
        <w:tc>
          <w:tcPr>
            <w:tcW w:w="9639" w:type="dxa"/>
          </w:tcPr>
          <w:p w:rsidR="00572847" w:rsidRDefault="00572847" w:rsidP="00465383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7. Unia Europejska – integracja kultury? Pytanie o wartości i wzorce kulturowe zjednoczonej Europy</w:t>
            </w:r>
          </w:p>
          <w:p w:rsidR="00572847" w:rsidRDefault="00572847" w:rsidP="00465383">
            <w:pPr>
              <w:spacing w:after="0" w:line="240" w:lineRule="auto"/>
              <w:jc w:val="both"/>
            </w:pPr>
            <w:r>
              <w:t xml:space="preserve">Indywidualizacja a odpowiedzialność; problem samoidentyfikacji i poczucia tożsamości. Art. 6 </w:t>
            </w:r>
            <w:r w:rsidRPr="00D6392C">
              <w:rPr>
                <w:i/>
              </w:rPr>
              <w:t>Traktatu</w:t>
            </w:r>
            <w:r>
              <w:t xml:space="preserve"> </w:t>
            </w:r>
            <w:r w:rsidRPr="00D6392C">
              <w:rPr>
                <w:i/>
              </w:rPr>
              <w:t>europejskiego</w:t>
            </w:r>
            <w:r>
              <w:t>: wolność, demokracja, szacunek dla praw człowieka, rządy prawa. Integracja a tradycyjne wartości: wspólnota kultury</w:t>
            </w:r>
            <w:r>
              <w:rPr>
                <w:b/>
              </w:rPr>
              <w:t xml:space="preserve">, </w:t>
            </w:r>
            <w:r>
              <w:t>Europa konstytucjonalnego patriotyzmu.</w:t>
            </w:r>
          </w:p>
          <w:p w:rsidR="00572847" w:rsidRPr="000709ED" w:rsidRDefault="00572847" w:rsidP="00465383">
            <w:pPr>
              <w:spacing w:after="0" w:line="240" w:lineRule="auto"/>
              <w:jc w:val="both"/>
            </w:pPr>
            <w:r>
              <w:t xml:space="preserve">Więckowski P., </w:t>
            </w:r>
            <w:r>
              <w:rPr>
                <w:i/>
              </w:rPr>
              <w:t>Wartości Europy</w:t>
            </w:r>
            <w:r>
              <w:t xml:space="preserve">, w: K. Żukrowska (red.), </w:t>
            </w:r>
            <w:r>
              <w:rPr>
                <w:i/>
              </w:rPr>
              <w:t>Co dzieli, co integruje Wspólnotę Europejską?</w:t>
            </w:r>
            <w:r>
              <w:t>, SGH, Warszawa 2007, s. 431-440</w:t>
            </w:r>
          </w:p>
        </w:tc>
      </w:tr>
      <w:tr w:rsidR="00572847" w:rsidRPr="00AF4A52" w:rsidTr="00572847">
        <w:tc>
          <w:tcPr>
            <w:tcW w:w="9639" w:type="dxa"/>
          </w:tcPr>
          <w:p w:rsidR="00572847" w:rsidRDefault="00572847" w:rsidP="00465383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8.  Ekspansji kulturowej ciąg dalszy – zderzenie cywilizacji</w:t>
            </w:r>
          </w:p>
          <w:p w:rsidR="00572847" w:rsidRDefault="00572847" w:rsidP="00465383">
            <w:pPr>
              <w:spacing w:after="0" w:line="240" w:lineRule="auto"/>
              <w:jc w:val="both"/>
            </w:pPr>
            <w:r>
              <w:t xml:space="preserve">Cywilizacja uniwersalna, czyli kulturowe jednoczenie się ludzkości oraz powszechna akceptacja wspólnych wartości, przekonań, orientacji, zwyczajów, instytucji przez narody świata. Sedno zachodniej cywilizacji: dziedzictwo starożytności klasycznej, katolicyzm i protestantyzm, języki europejskie, rozdział władzy duchowej i doczesnej, rządy prawa pluralizm społeczny, gremia przedstawicielskie, indywidualizm. </w:t>
            </w:r>
          </w:p>
          <w:p w:rsidR="00572847" w:rsidRPr="00064B77" w:rsidRDefault="00572847" w:rsidP="00465383">
            <w:pPr>
              <w:spacing w:after="0" w:line="240" w:lineRule="auto"/>
              <w:jc w:val="both"/>
            </w:pPr>
            <w:r>
              <w:t>Teza Huntingtona: pojęcie cywilizacji uniwersalnej służy uzasadnieniu imperializmu kulturowego zachodu (westernizacja). Reakcje na zachód i modernizację: odrzucenie, kemalizm, reformizm.</w:t>
            </w:r>
          </w:p>
          <w:p w:rsidR="00572847" w:rsidRPr="001A1E5C" w:rsidRDefault="00572847" w:rsidP="00465383">
            <w:pPr>
              <w:spacing w:after="0" w:line="240" w:lineRule="auto"/>
              <w:jc w:val="both"/>
            </w:pPr>
            <w:r>
              <w:t xml:space="preserve">Huntington S., </w:t>
            </w:r>
            <w:r>
              <w:rPr>
                <w:i/>
              </w:rPr>
              <w:t>Zderzenie cywilizacji i nowy kształt ładu światowego</w:t>
            </w:r>
            <w:r>
              <w:t xml:space="preserve">, przeł. H. Jankowska, Muza SA, Warszawa 2007, s. 13-118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181FA0" w:rsidRDefault="009F4610" w:rsidP="00EF37A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181FA0" w:rsidRPr="00181FA0" w:rsidRDefault="00181FA0" w:rsidP="00181FA0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181FA0">
        <w:rPr>
          <w:rFonts w:ascii="Corbel" w:hAnsi="Corbel"/>
          <w:b w:val="0"/>
          <w:i/>
          <w:smallCaps w:val="0"/>
          <w:szCs w:val="24"/>
        </w:rPr>
        <w:t>Wykład:</w:t>
      </w:r>
    </w:p>
    <w:p w:rsidR="00181FA0" w:rsidRPr="00181FA0" w:rsidRDefault="00181FA0" w:rsidP="00181FA0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181FA0">
        <w:rPr>
          <w:rFonts w:ascii="Corbel" w:hAnsi="Corbel"/>
          <w:b w:val="0"/>
          <w:i/>
          <w:smallCaps w:val="0"/>
          <w:szCs w:val="24"/>
        </w:rPr>
        <w:t>- wykład problemowy</w:t>
      </w:r>
    </w:p>
    <w:p w:rsidR="00181FA0" w:rsidRPr="00181FA0" w:rsidRDefault="00181FA0" w:rsidP="00181FA0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181FA0">
        <w:rPr>
          <w:rFonts w:ascii="Corbel" w:hAnsi="Corbel"/>
          <w:b w:val="0"/>
          <w:i/>
          <w:smallCaps w:val="0"/>
          <w:szCs w:val="24"/>
        </w:rPr>
        <w:t xml:space="preserve">- wykład z prezentacją multimedialną (slajdy zawierają ważniejsze i obszerniejsze cytaty z wybranych dzieł filozoficznych, co umożliwia ich wspólną analizę, a także prezentują dzieła sztuki inspirowane tematyką filozoficzną). </w:t>
      </w:r>
    </w:p>
    <w:p w:rsidR="00181FA0" w:rsidRPr="00181FA0" w:rsidRDefault="00181FA0" w:rsidP="00181FA0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181FA0">
        <w:rPr>
          <w:rFonts w:ascii="Corbel" w:hAnsi="Corbel"/>
          <w:b w:val="0"/>
          <w:i/>
          <w:smallCaps w:val="0"/>
          <w:szCs w:val="24"/>
        </w:rPr>
        <w:t>Ćwiczenia:</w:t>
      </w:r>
    </w:p>
    <w:p w:rsidR="00181FA0" w:rsidRPr="00181FA0" w:rsidRDefault="00181FA0" w:rsidP="00181FA0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181FA0">
        <w:rPr>
          <w:rFonts w:ascii="Corbel" w:hAnsi="Corbel"/>
          <w:b w:val="0"/>
          <w:i/>
          <w:smallCaps w:val="0"/>
          <w:szCs w:val="24"/>
        </w:rPr>
        <w:t xml:space="preserve">- indywidualna lektura zadanych tekstów jako podstawa przygotowania do zajęć </w:t>
      </w:r>
    </w:p>
    <w:p w:rsidR="00181FA0" w:rsidRPr="00181FA0" w:rsidRDefault="00181FA0" w:rsidP="00181FA0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181FA0">
        <w:rPr>
          <w:rFonts w:ascii="Corbel" w:hAnsi="Corbel"/>
          <w:b w:val="0"/>
          <w:i/>
          <w:smallCaps w:val="0"/>
          <w:szCs w:val="24"/>
        </w:rPr>
        <w:t>- wspólna analiza wybranych tekstów</w:t>
      </w:r>
    </w:p>
    <w:p w:rsidR="00181FA0" w:rsidRPr="00181FA0" w:rsidRDefault="00181FA0" w:rsidP="00181FA0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181FA0">
        <w:rPr>
          <w:rFonts w:ascii="Corbel" w:hAnsi="Corbel"/>
          <w:b w:val="0"/>
          <w:i/>
          <w:smallCaps w:val="0"/>
          <w:szCs w:val="24"/>
        </w:rPr>
        <w:t>- badanie kontekstu pojawienia się i ewolucji znaczenia głównych pojęć filozoficznych</w:t>
      </w:r>
    </w:p>
    <w:p w:rsidR="00181FA0" w:rsidRPr="00181FA0" w:rsidRDefault="00181FA0" w:rsidP="00181FA0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181FA0">
        <w:rPr>
          <w:rFonts w:ascii="Corbel" w:hAnsi="Corbel"/>
          <w:b w:val="0"/>
          <w:i/>
          <w:smallCaps w:val="0"/>
          <w:szCs w:val="24"/>
        </w:rPr>
        <w:t>- dyskusja w grupie ćwiczeniowej na temat problemów pojęć i postaci pojawiających się w tekstach</w:t>
      </w:r>
    </w:p>
    <w:p w:rsidR="00181FA0" w:rsidRPr="00181FA0" w:rsidRDefault="00181FA0" w:rsidP="00181FA0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181FA0">
        <w:rPr>
          <w:rFonts w:ascii="Corbel" w:hAnsi="Corbel"/>
          <w:b w:val="0"/>
          <w:i/>
          <w:smallCaps w:val="0"/>
          <w:szCs w:val="24"/>
        </w:rPr>
        <w:t>- proponowanie możliwości interpretacji wyżej wymienionych kwestii</w:t>
      </w:r>
    </w:p>
    <w:p w:rsidR="00181FA0" w:rsidRPr="00181FA0" w:rsidRDefault="00181FA0" w:rsidP="00181FA0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181FA0">
        <w:rPr>
          <w:rFonts w:ascii="Corbel" w:hAnsi="Corbel"/>
          <w:b w:val="0"/>
          <w:i/>
          <w:smallCaps w:val="0"/>
          <w:szCs w:val="24"/>
        </w:rPr>
        <w:t>- indywidualna rozmowa w trakcie konsultacji, mająca na celu wyjaśnienie ewentualnych kwestii spornych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5103"/>
        <w:gridCol w:w="2233"/>
      </w:tblGrid>
      <w:tr w:rsidR="005A3B66" w:rsidRPr="00AF4A52" w:rsidTr="00465383">
        <w:tc>
          <w:tcPr>
            <w:tcW w:w="1984" w:type="dxa"/>
          </w:tcPr>
          <w:p w:rsidR="005A3B66" w:rsidRPr="00066CAE" w:rsidRDefault="005A3B66" w:rsidP="004653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6C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  <w:p w:rsidR="005A3B66" w:rsidRPr="00066CAE" w:rsidRDefault="005A3B66" w:rsidP="00465383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5103" w:type="dxa"/>
          </w:tcPr>
          <w:p w:rsidR="005A3B66" w:rsidRPr="00066CAE" w:rsidRDefault="005A3B66" w:rsidP="004653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6C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:rsidR="005A3B66" w:rsidRPr="00066CAE" w:rsidRDefault="005A3B66" w:rsidP="004653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6C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 np.: kolokwium, egzamin ustny, egzamin pisemny, projekt, sprawozdanie, obserwacja w trakcie zajęć)</w:t>
            </w:r>
          </w:p>
        </w:tc>
        <w:tc>
          <w:tcPr>
            <w:tcW w:w="2233" w:type="dxa"/>
          </w:tcPr>
          <w:p w:rsidR="005A3B66" w:rsidRPr="00066CAE" w:rsidRDefault="005A3B66" w:rsidP="004653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6CAE">
              <w:rPr>
                <w:rFonts w:ascii="Corbel" w:hAnsi="Corbel"/>
                <w:b w:val="0"/>
                <w:smallCaps w:val="0"/>
                <w:szCs w:val="24"/>
              </w:rPr>
              <w:t>Forma zajęć dydaktycznych ( w, ćw, …)</w:t>
            </w:r>
          </w:p>
        </w:tc>
      </w:tr>
      <w:tr w:rsidR="005A3B66" w:rsidRPr="00AF4A52" w:rsidTr="00465383">
        <w:tc>
          <w:tcPr>
            <w:tcW w:w="1984" w:type="dxa"/>
          </w:tcPr>
          <w:p w:rsidR="005A3B66" w:rsidRPr="00066CAE" w:rsidRDefault="005A3B66" w:rsidP="004653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66C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103" w:type="dxa"/>
          </w:tcPr>
          <w:p w:rsidR="005A3B66" w:rsidRPr="00066CAE" w:rsidRDefault="005A3B66" w:rsidP="004653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66CAE">
              <w:rPr>
                <w:rFonts w:ascii="Corbel" w:hAnsi="Corbel"/>
                <w:b w:val="0"/>
                <w:szCs w:val="24"/>
              </w:rPr>
              <w:t>ćw.: obserwacja i ocena indywidualnej aktywności w trakcie zajęć</w:t>
            </w:r>
          </w:p>
          <w:p w:rsidR="005A3B66" w:rsidRPr="00066CAE" w:rsidRDefault="005A3B66" w:rsidP="004653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66CAE">
              <w:rPr>
                <w:rFonts w:ascii="Corbel" w:hAnsi="Corbel"/>
                <w:b w:val="0"/>
                <w:szCs w:val="24"/>
              </w:rPr>
              <w:t>w.: egzamin ustny</w:t>
            </w:r>
          </w:p>
        </w:tc>
        <w:tc>
          <w:tcPr>
            <w:tcW w:w="2233" w:type="dxa"/>
          </w:tcPr>
          <w:p w:rsidR="005A3B66" w:rsidRPr="00066CAE" w:rsidRDefault="005A3B66" w:rsidP="004653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66CAE">
              <w:rPr>
                <w:rFonts w:ascii="Corbel" w:hAnsi="Corbel"/>
                <w:b w:val="0"/>
                <w:szCs w:val="24"/>
              </w:rPr>
              <w:t>ćw. 1-8, w. 1-15</w:t>
            </w:r>
          </w:p>
        </w:tc>
      </w:tr>
      <w:tr w:rsidR="005A3B66" w:rsidRPr="00AF4A52" w:rsidTr="00465383">
        <w:tc>
          <w:tcPr>
            <w:tcW w:w="1984" w:type="dxa"/>
          </w:tcPr>
          <w:p w:rsidR="005A3B66" w:rsidRPr="00066CAE" w:rsidRDefault="005A3B66" w:rsidP="004653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66C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:rsidR="005A3B66" w:rsidRPr="00066CAE" w:rsidRDefault="005A3B66" w:rsidP="004653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66CAE">
              <w:rPr>
                <w:rFonts w:ascii="Corbel" w:hAnsi="Corbel"/>
                <w:b w:val="0"/>
                <w:szCs w:val="24"/>
              </w:rPr>
              <w:t>ćw.: obserwacja i ocena indywidualnej aktywności w trakcie zajęć</w:t>
            </w:r>
          </w:p>
          <w:p w:rsidR="005A3B66" w:rsidRPr="00066CAE" w:rsidRDefault="005A3B66" w:rsidP="004653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66CAE">
              <w:rPr>
                <w:rFonts w:ascii="Corbel" w:hAnsi="Corbel"/>
                <w:b w:val="0"/>
                <w:szCs w:val="24"/>
              </w:rPr>
              <w:t>w.: egzamin ustny</w:t>
            </w:r>
          </w:p>
        </w:tc>
        <w:tc>
          <w:tcPr>
            <w:tcW w:w="2233" w:type="dxa"/>
          </w:tcPr>
          <w:p w:rsidR="005A3B66" w:rsidRPr="00066CAE" w:rsidRDefault="005A3B66" w:rsidP="004653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66CAE">
              <w:rPr>
                <w:rFonts w:ascii="Corbel" w:hAnsi="Corbel"/>
                <w:b w:val="0"/>
                <w:szCs w:val="24"/>
              </w:rPr>
              <w:t>ćw. 1-8, w. 1-15</w:t>
            </w:r>
          </w:p>
        </w:tc>
      </w:tr>
      <w:tr w:rsidR="005A3B66" w:rsidRPr="00AF4A52" w:rsidTr="00465383">
        <w:tc>
          <w:tcPr>
            <w:tcW w:w="1984" w:type="dxa"/>
          </w:tcPr>
          <w:p w:rsidR="005A3B66" w:rsidRPr="00066CAE" w:rsidRDefault="005A3B66" w:rsidP="004653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66CAE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103" w:type="dxa"/>
          </w:tcPr>
          <w:p w:rsidR="005A3B66" w:rsidRPr="00066CAE" w:rsidRDefault="005A3B66" w:rsidP="004653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66CAE">
              <w:rPr>
                <w:rFonts w:ascii="Corbel" w:hAnsi="Corbel"/>
                <w:b w:val="0"/>
                <w:szCs w:val="24"/>
              </w:rPr>
              <w:t>ćw.: obserwacja i ocena indywidualnej aktywności w trakcie zajęć</w:t>
            </w:r>
          </w:p>
          <w:p w:rsidR="005A3B66" w:rsidRPr="00066CAE" w:rsidRDefault="005A3B66" w:rsidP="004653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66CAE">
              <w:rPr>
                <w:rFonts w:ascii="Corbel" w:hAnsi="Corbel"/>
                <w:b w:val="0"/>
                <w:szCs w:val="24"/>
              </w:rPr>
              <w:t>w.: egzamin ustny</w:t>
            </w:r>
          </w:p>
        </w:tc>
        <w:tc>
          <w:tcPr>
            <w:tcW w:w="2233" w:type="dxa"/>
          </w:tcPr>
          <w:p w:rsidR="005A3B66" w:rsidRPr="00066CAE" w:rsidRDefault="005A3B66" w:rsidP="004653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66CAE">
              <w:rPr>
                <w:rFonts w:ascii="Corbel" w:hAnsi="Corbel"/>
                <w:b w:val="0"/>
                <w:szCs w:val="24"/>
              </w:rPr>
              <w:t>ćw. 1-8, w. 1-15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9C2C7C" w:rsidRPr="004B323A" w:rsidRDefault="009C2C7C" w:rsidP="009C2C7C">
            <w:pPr>
              <w:spacing w:after="0"/>
              <w:rPr>
                <w:rFonts w:ascii="Corbel" w:hAnsi="Corbel"/>
                <w:sz w:val="24"/>
              </w:rPr>
            </w:pPr>
            <w:r w:rsidRPr="004B323A">
              <w:rPr>
                <w:rFonts w:ascii="Corbel" w:hAnsi="Corbel"/>
                <w:sz w:val="24"/>
              </w:rPr>
              <w:t>Ćwiczenia: podstawowym warunkiem zaliczenia ćwiczeń jest obecność studenta na zajęciach. kryterium oceny stanowi jego werbalna aktywność w trakcie dyskusji w grupie ćwiczeniowej.</w:t>
            </w:r>
          </w:p>
          <w:p w:rsidR="0085747A" w:rsidRPr="009C2C7C" w:rsidRDefault="009C2C7C" w:rsidP="004B323A">
            <w:pPr>
              <w:spacing w:after="0"/>
              <w:rPr>
                <w:rFonts w:ascii="Times New Roman" w:hAnsi="Times New Roman"/>
                <w:b/>
                <w:smallCaps/>
              </w:rPr>
            </w:pPr>
            <w:r w:rsidRPr="004B323A">
              <w:rPr>
                <w:rFonts w:ascii="Corbel" w:hAnsi="Corbel"/>
                <w:sz w:val="24"/>
              </w:rPr>
              <w:t>Wykład: warunkiem zaliczenia przedmiotu jest pozytywne zdanie egzaminu ustnego. kryterium oceny jest sprawdzenie w trakcie egzaminu poziomu wiedzy studenta z zakresu treści omówionych w ramach wykładów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120EF3" w:rsidRPr="00120EF3" w:rsidRDefault="009745C0" w:rsidP="00120EF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Wykład 30 godzin</w:t>
            </w:r>
          </w:p>
          <w:p w:rsidR="0085747A" w:rsidRPr="009C54AE" w:rsidRDefault="008954C1" w:rsidP="00120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</w:rPr>
              <w:t>Ćwiczenia 15</w:t>
            </w:r>
            <w:r w:rsidR="00120EF3" w:rsidRPr="00120EF3">
              <w:rPr>
                <w:rFonts w:ascii="Corbel" w:hAnsi="Corbel"/>
                <w:sz w:val="24"/>
              </w:rPr>
              <w:t xml:space="preserve"> godz</w:t>
            </w:r>
            <w:r w:rsidR="009745C0">
              <w:rPr>
                <w:rFonts w:ascii="Corbel" w:hAnsi="Corbel"/>
                <w:sz w:val="24"/>
              </w:rPr>
              <w:t>in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DD7FC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597C4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Ćwiczenia: 52</w:t>
            </w:r>
            <w:r w:rsidR="009745C0">
              <w:rPr>
                <w:rFonts w:ascii="Corbel" w:hAnsi="Corbel"/>
                <w:sz w:val="24"/>
                <w:szCs w:val="24"/>
              </w:rPr>
              <w:t xml:space="preserve"> godzin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597C41" w:rsidP="00597C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8954C1" w:rsidP="00104B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EE434F" w:rsidRDefault="00EE43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E43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przewidziano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EE434F" w:rsidRDefault="00EE43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E43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przewidziano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E67CE" w:rsidRPr="00AF4A52" w:rsidTr="00465383">
        <w:tc>
          <w:tcPr>
            <w:tcW w:w="7513" w:type="dxa"/>
          </w:tcPr>
          <w:p w:rsidR="008E67CE" w:rsidRPr="008E67CE" w:rsidRDefault="008E67CE" w:rsidP="004653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8E67CE">
              <w:rPr>
                <w:rFonts w:ascii="Corbel" w:hAnsi="Corbel"/>
                <w:b w:val="0"/>
                <w:smallCaps w:val="0"/>
              </w:rPr>
              <w:t>Literatura podstawowa:</w:t>
            </w:r>
          </w:p>
          <w:p w:rsidR="008E67CE" w:rsidRPr="008E67CE" w:rsidRDefault="008E67CE" w:rsidP="00465383">
            <w:pPr>
              <w:spacing w:after="0"/>
              <w:ind w:left="469" w:hanging="488"/>
              <w:jc w:val="both"/>
              <w:rPr>
                <w:rFonts w:ascii="Corbel" w:hAnsi="Corbel"/>
                <w:sz w:val="24"/>
              </w:rPr>
            </w:pPr>
            <w:r w:rsidRPr="008E67CE">
              <w:rPr>
                <w:rFonts w:ascii="Corbel" w:hAnsi="Corbel"/>
                <w:sz w:val="24"/>
              </w:rPr>
              <w:t xml:space="preserve">Camus A., </w:t>
            </w:r>
            <w:r w:rsidRPr="008E67CE">
              <w:rPr>
                <w:rFonts w:ascii="Corbel" w:hAnsi="Corbel"/>
                <w:i/>
                <w:sz w:val="24"/>
              </w:rPr>
              <w:t>Mit Syzyfa</w:t>
            </w:r>
            <w:r w:rsidRPr="008E67CE">
              <w:rPr>
                <w:rFonts w:ascii="Corbel" w:hAnsi="Corbel"/>
                <w:sz w:val="24"/>
              </w:rPr>
              <w:t xml:space="preserve">, w: tenże, </w:t>
            </w:r>
            <w:r w:rsidRPr="008E67CE">
              <w:rPr>
                <w:rFonts w:ascii="Corbel" w:hAnsi="Corbel"/>
                <w:i/>
                <w:sz w:val="24"/>
              </w:rPr>
              <w:t>Mit Syzyfa i inne eseje</w:t>
            </w:r>
            <w:r w:rsidRPr="008E67CE">
              <w:rPr>
                <w:rFonts w:ascii="Corbel" w:hAnsi="Corbel"/>
                <w:sz w:val="24"/>
              </w:rPr>
              <w:t>, przeł. J. Guze, Muza, Warszawa 1999</w:t>
            </w:r>
          </w:p>
          <w:p w:rsidR="008E67CE" w:rsidRPr="008E67CE" w:rsidRDefault="008E67CE" w:rsidP="00465383">
            <w:pPr>
              <w:spacing w:after="0"/>
              <w:ind w:left="469" w:hanging="488"/>
              <w:jc w:val="both"/>
              <w:rPr>
                <w:rFonts w:ascii="Corbel" w:hAnsi="Corbel"/>
                <w:sz w:val="24"/>
              </w:rPr>
            </w:pPr>
            <w:r w:rsidRPr="008E67CE">
              <w:rPr>
                <w:rFonts w:ascii="Corbel" w:hAnsi="Corbel"/>
                <w:sz w:val="24"/>
              </w:rPr>
              <w:t xml:space="preserve">Guthrie W.K.C., </w:t>
            </w:r>
            <w:r w:rsidRPr="008E67CE">
              <w:rPr>
                <w:rFonts w:ascii="Corbel" w:hAnsi="Corbel"/>
                <w:i/>
                <w:sz w:val="24"/>
              </w:rPr>
              <w:t>Filozofowie greccy od Talesa do Arystotelesa</w:t>
            </w:r>
            <w:r w:rsidRPr="008E67CE">
              <w:rPr>
                <w:rFonts w:ascii="Corbel" w:hAnsi="Corbel"/>
                <w:sz w:val="24"/>
              </w:rPr>
              <w:t>, przeł. A. Pawelec, Znak, Kraków 1996</w:t>
            </w:r>
          </w:p>
          <w:p w:rsidR="008E67CE" w:rsidRPr="008E67CE" w:rsidRDefault="008E67CE" w:rsidP="00465383">
            <w:pPr>
              <w:spacing w:after="0"/>
              <w:ind w:left="469" w:hanging="488"/>
              <w:jc w:val="both"/>
              <w:rPr>
                <w:rFonts w:ascii="Corbel" w:hAnsi="Corbel"/>
                <w:sz w:val="24"/>
              </w:rPr>
            </w:pPr>
            <w:r w:rsidRPr="008E67CE">
              <w:rPr>
                <w:rFonts w:ascii="Corbel" w:hAnsi="Corbel"/>
                <w:sz w:val="24"/>
              </w:rPr>
              <w:t xml:space="preserve">Huntington S., </w:t>
            </w:r>
            <w:r w:rsidRPr="008E67CE">
              <w:rPr>
                <w:rFonts w:ascii="Corbel" w:hAnsi="Corbel"/>
                <w:i/>
                <w:sz w:val="24"/>
              </w:rPr>
              <w:t>Zderzenie cywilizacji i nowy kształt ładu światowego</w:t>
            </w:r>
            <w:r w:rsidRPr="008E67CE">
              <w:rPr>
                <w:rFonts w:ascii="Corbel" w:hAnsi="Corbel"/>
                <w:sz w:val="24"/>
              </w:rPr>
              <w:t>, przeł. H. Jankowska, Muza SA, Warszawa 2007</w:t>
            </w:r>
          </w:p>
          <w:p w:rsidR="008E67CE" w:rsidRPr="008E67CE" w:rsidRDefault="008E67CE" w:rsidP="00465383">
            <w:pPr>
              <w:spacing w:after="0"/>
              <w:ind w:left="469" w:hanging="488"/>
              <w:jc w:val="both"/>
              <w:rPr>
                <w:rFonts w:ascii="Corbel" w:hAnsi="Corbel"/>
                <w:sz w:val="24"/>
              </w:rPr>
            </w:pPr>
            <w:r w:rsidRPr="008E67CE">
              <w:rPr>
                <w:rFonts w:ascii="Corbel" w:hAnsi="Corbel"/>
                <w:sz w:val="24"/>
              </w:rPr>
              <w:t xml:space="preserve">Jaeger W., </w:t>
            </w:r>
            <w:r w:rsidRPr="008E67CE">
              <w:rPr>
                <w:rFonts w:ascii="Corbel" w:hAnsi="Corbel"/>
                <w:i/>
                <w:sz w:val="24"/>
              </w:rPr>
              <w:t>Paideia. Formowanie człowieka greckiego</w:t>
            </w:r>
            <w:r w:rsidRPr="008E67CE">
              <w:rPr>
                <w:rFonts w:ascii="Corbel" w:hAnsi="Corbel"/>
                <w:sz w:val="24"/>
              </w:rPr>
              <w:t>,</w:t>
            </w:r>
            <w:r w:rsidRPr="008E67CE">
              <w:rPr>
                <w:rFonts w:ascii="Corbel" w:hAnsi="Corbel"/>
                <w:i/>
                <w:sz w:val="24"/>
              </w:rPr>
              <w:t xml:space="preserve"> </w:t>
            </w:r>
            <w:r w:rsidRPr="008E67CE">
              <w:rPr>
                <w:rFonts w:ascii="Corbel" w:hAnsi="Corbel"/>
                <w:sz w:val="24"/>
              </w:rPr>
              <w:t>przeł. M. Plezia, H. Bednarek, Fundacja Aletheia, Warszawa 2001</w:t>
            </w:r>
          </w:p>
          <w:p w:rsidR="008E67CE" w:rsidRPr="008E67CE" w:rsidRDefault="008E67CE" w:rsidP="00465383">
            <w:pPr>
              <w:spacing w:after="0"/>
              <w:ind w:left="469" w:hanging="488"/>
              <w:jc w:val="both"/>
              <w:rPr>
                <w:rFonts w:ascii="Corbel" w:hAnsi="Corbel"/>
                <w:sz w:val="24"/>
              </w:rPr>
            </w:pPr>
            <w:r w:rsidRPr="008E67CE">
              <w:rPr>
                <w:rFonts w:ascii="Corbel" w:hAnsi="Corbel"/>
                <w:sz w:val="24"/>
              </w:rPr>
              <w:t xml:space="preserve">Kowalski K., </w:t>
            </w:r>
            <w:r w:rsidRPr="008E67CE">
              <w:rPr>
                <w:rFonts w:ascii="Corbel" w:hAnsi="Corbel"/>
                <w:i/>
                <w:sz w:val="24"/>
              </w:rPr>
              <w:t>O istocie dziedzictwa europejskiego – rozważania</w:t>
            </w:r>
            <w:r w:rsidRPr="008E67CE">
              <w:rPr>
                <w:rFonts w:ascii="Corbel" w:hAnsi="Corbel"/>
                <w:sz w:val="24"/>
              </w:rPr>
              <w:t>, Międzynarodowe Centrum Kultury, Kraków 2013, s. 79-112</w:t>
            </w:r>
          </w:p>
          <w:p w:rsidR="008E67CE" w:rsidRPr="008E67CE" w:rsidRDefault="008E67CE" w:rsidP="00465383">
            <w:pPr>
              <w:spacing w:after="0"/>
              <w:ind w:left="469" w:hanging="488"/>
              <w:jc w:val="both"/>
              <w:rPr>
                <w:rFonts w:ascii="Corbel" w:hAnsi="Corbel"/>
                <w:sz w:val="24"/>
              </w:rPr>
            </w:pPr>
            <w:r w:rsidRPr="008E67CE">
              <w:rPr>
                <w:rFonts w:ascii="Corbel" w:hAnsi="Corbel"/>
                <w:sz w:val="24"/>
              </w:rPr>
              <w:t xml:space="preserve">Krasnodębski M., </w:t>
            </w:r>
            <w:r w:rsidRPr="008E67CE">
              <w:rPr>
                <w:rFonts w:ascii="Corbel" w:hAnsi="Corbel"/>
                <w:i/>
                <w:sz w:val="24"/>
              </w:rPr>
              <w:t>Zarys dziejów ateńskiej historii wychowania. Paideia od Sokratesa do Zenona</w:t>
            </w:r>
            <w:r w:rsidRPr="008E67CE">
              <w:rPr>
                <w:rFonts w:ascii="Corbel" w:hAnsi="Corbel"/>
                <w:sz w:val="24"/>
              </w:rPr>
              <w:t>, Difin, Warszawa 2011</w:t>
            </w:r>
          </w:p>
          <w:p w:rsidR="008E67CE" w:rsidRPr="008E67CE" w:rsidRDefault="008E67CE" w:rsidP="00465383">
            <w:pPr>
              <w:spacing w:after="0"/>
              <w:ind w:left="469" w:hanging="488"/>
              <w:jc w:val="both"/>
              <w:rPr>
                <w:rFonts w:ascii="Corbel" w:hAnsi="Corbel"/>
                <w:sz w:val="24"/>
              </w:rPr>
            </w:pPr>
            <w:r w:rsidRPr="008E67CE">
              <w:rPr>
                <w:rFonts w:ascii="Corbel" w:hAnsi="Corbel"/>
                <w:sz w:val="24"/>
              </w:rPr>
              <w:t xml:space="preserve">Kubiak Z., </w:t>
            </w:r>
            <w:r w:rsidRPr="008E67CE">
              <w:rPr>
                <w:rFonts w:ascii="Corbel" w:hAnsi="Corbel"/>
                <w:i/>
                <w:sz w:val="24"/>
              </w:rPr>
              <w:t>Literatura Greków i Rzymian</w:t>
            </w:r>
            <w:r w:rsidRPr="008E67CE">
              <w:rPr>
                <w:rFonts w:ascii="Corbel" w:hAnsi="Corbel"/>
                <w:sz w:val="24"/>
              </w:rPr>
              <w:t xml:space="preserve">, Świat Książki, Warszawa 1999 </w:t>
            </w:r>
          </w:p>
          <w:p w:rsidR="008E67CE" w:rsidRPr="008E67CE" w:rsidRDefault="008E67CE" w:rsidP="00465383">
            <w:pPr>
              <w:spacing w:after="0"/>
              <w:ind w:left="469" w:hanging="488"/>
              <w:jc w:val="both"/>
              <w:rPr>
                <w:rFonts w:ascii="Corbel" w:hAnsi="Corbel"/>
                <w:sz w:val="24"/>
              </w:rPr>
            </w:pPr>
            <w:r w:rsidRPr="008E67CE">
              <w:rPr>
                <w:rFonts w:ascii="Corbel" w:hAnsi="Corbel"/>
                <w:sz w:val="24"/>
              </w:rPr>
              <w:t xml:space="preserve">Lengauer W., </w:t>
            </w:r>
            <w:r w:rsidRPr="008E67CE">
              <w:rPr>
                <w:rFonts w:ascii="Corbel" w:hAnsi="Corbel"/>
                <w:i/>
                <w:sz w:val="24"/>
              </w:rPr>
              <w:t>Religijność starożytnych Greków</w:t>
            </w:r>
            <w:r w:rsidRPr="008E67CE">
              <w:rPr>
                <w:rFonts w:ascii="Corbel" w:hAnsi="Corbel"/>
                <w:sz w:val="24"/>
              </w:rPr>
              <w:t>, PWN, Warszawa 1994</w:t>
            </w:r>
          </w:p>
          <w:p w:rsidR="008E67CE" w:rsidRPr="008E67CE" w:rsidRDefault="008E67CE" w:rsidP="00465383">
            <w:pPr>
              <w:spacing w:after="0"/>
              <w:ind w:left="469" w:hanging="488"/>
              <w:jc w:val="both"/>
              <w:rPr>
                <w:rFonts w:ascii="Corbel" w:hAnsi="Corbel"/>
                <w:sz w:val="24"/>
              </w:rPr>
            </w:pPr>
            <w:r w:rsidRPr="008E67CE">
              <w:rPr>
                <w:rFonts w:ascii="Corbel" w:hAnsi="Corbel"/>
                <w:sz w:val="24"/>
              </w:rPr>
              <w:t xml:space="preserve">Pott H.-G., </w:t>
            </w:r>
            <w:r w:rsidRPr="008E67CE">
              <w:rPr>
                <w:rFonts w:ascii="Corbel" w:hAnsi="Corbel"/>
                <w:i/>
                <w:sz w:val="24"/>
              </w:rPr>
              <w:t>Krótka historia kultury europejskiej</w:t>
            </w:r>
            <w:r w:rsidRPr="008E67CE">
              <w:rPr>
                <w:rFonts w:ascii="Corbel" w:hAnsi="Corbel"/>
                <w:sz w:val="24"/>
              </w:rPr>
              <w:t>, przeł. J. Dąbrowski, ATUT, Wrocław 2007</w:t>
            </w:r>
          </w:p>
          <w:p w:rsidR="008E67CE" w:rsidRPr="008E67CE" w:rsidRDefault="008E67CE" w:rsidP="00465383">
            <w:pPr>
              <w:spacing w:after="0"/>
              <w:ind w:left="469" w:hanging="488"/>
              <w:jc w:val="both"/>
              <w:rPr>
                <w:rFonts w:ascii="Corbel" w:hAnsi="Corbel"/>
                <w:sz w:val="24"/>
              </w:rPr>
            </w:pPr>
            <w:r w:rsidRPr="008E67CE">
              <w:rPr>
                <w:rFonts w:ascii="Corbel" w:hAnsi="Corbel"/>
                <w:sz w:val="24"/>
              </w:rPr>
              <w:t xml:space="preserve">Rietbergen P., </w:t>
            </w:r>
            <w:r w:rsidRPr="008E67CE">
              <w:rPr>
                <w:rFonts w:ascii="Corbel" w:hAnsi="Corbel"/>
                <w:i/>
                <w:sz w:val="24"/>
              </w:rPr>
              <w:t>Europa. Dzieje kultury</w:t>
            </w:r>
            <w:r w:rsidRPr="008E67CE">
              <w:rPr>
                <w:rFonts w:ascii="Corbel" w:hAnsi="Corbel"/>
                <w:sz w:val="24"/>
              </w:rPr>
              <w:t>, przeł. R. Bartołd, Książka i Wiedza, Warszawa 2001</w:t>
            </w:r>
          </w:p>
          <w:p w:rsidR="008E67CE" w:rsidRPr="008E67CE" w:rsidRDefault="008E67CE" w:rsidP="00465383">
            <w:pPr>
              <w:spacing w:after="0"/>
              <w:ind w:left="469" w:hanging="488"/>
              <w:jc w:val="both"/>
              <w:rPr>
                <w:rFonts w:ascii="Corbel" w:hAnsi="Corbel"/>
                <w:sz w:val="24"/>
              </w:rPr>
            </w:pPr>
            <w:r w:rsidRPr="008E67CE">
              <w:rPr>
                <w:rFonts w:ascii="Corbel" w:hAnsi="Corbel"/>
                <w:sz w:val="24"/>
              </w:rPr>
              <w:t xml:space="preserve">Snell  B., </w:t>
            </w:r>
            <w:r w:rsidRPr="008E67CE">
              <w:rPr>
                <w:rFonts w:ascii="Corbel" w:hAnsi="Corbel"/>
                <w:i/>
                <w:sz w:val="24"/>
              </w:rPr>
              <w:t>Odkrycie ducha. Studia o greckich korzeniach europejskiego myślenia</w:t>
            </w:r>
            <w:r w:rsidRPr="008E67CE">
              <w:rPr>
                <w:rFonts w:ascii="Corbel" w:hAnsi="Corbel"/>
                <w:sz w:val="24"/>
              </w:rPr>
              <w:t>, przeł. A. Onysymow, Fundacja Aletheia, Warszawa 2009</w:t>
            </w:r>
          </w:p>
          <w:p w:rsidR="008E67CE" w:rsidRPr="008E67CE" w:rsidRDefault="008E67CE" w:rsidP="00465383">
            <w:pPr>
              <w:spacing w:after="0"/>
              <w:ind w:left="469" w:hanging="488"/>
              <w:jc w:val="both"/>
              <w:rPr>
                <w:rFonts w:ascii="Corbel" w:hAnsi="Corbel"/>
                <w:sz w:val="24"/>
              </w:rPr>
            </w:pPr>
            <w:r w:rsidRPr="008E67CE">
              <w:rPr>
                <w:rFonts w:ascii="Corbel" w:hAnsi="Corbel"/>
                <w:sz w:val="24"/>
              </w:rPr>
              <w:t xml:space="preserve">Stabryła S., </w:t>
            </w:r>
            <w:r w:rsidRPr="008E67CE">
              <w:rPr>
                <w:rFonts w:ascii="Corbel" w:hAnsi="Corbel"/>
                <w:i/>
                <w:sz w:val="24"/>
              </w:rPr>
              <w:t>Historia kultury europejskiej</w:t>
            </w:r>
            <w:r w:rsidRPr="008E67CE">
              <w:rPr>
                <w:rFonts w:ascii="Corbel" w:hAnsi="Corbel"/>
                <w:sz w:val="24"/>
              </w:rPr>
              <w:t xml:space="preserve">, 1. </w:t>
            </w:r>
            <w:r w:rsidRPr="008E67CE">
              <w:rPr>
                <w:rFonts w:ascii="Corbel" w:hAnsi="Corbel"/>
                <w:i/>
                <w:sz w:val="24"/>
              </w:rPr>
              <w:t>Starożytność</w:t>
            </w:r>
            <w:r w:rsidRPr="008E67CE">
              <w:rPr>
                <w:rFonts w:ascii="Corbel" w:hAnsi="Corbel"/>
                <w:sz w:val="24"/>
              </w:rPr>
              <w:t>, WAM, Kraków 2012</w:t>
            </w:r>
          </w:p>
          <w:p w:rsidR="008E67CE" w:rsidRPr="008E67CE" w:rsidRDefault="008E67CE" w:rsidP="00465383">
            <w:pPr>
              <w:spacing w:after="0"/>
              <w:ind w:left="459" w:hanging="459"/>
              <w:jc w:val="both"/>
              <w:rPr>
                <w:rFonts w:ascii="Corbel" w:hAnsi="Corbel"/>
                <w:sz w:val="24"/>
              </w:rPr>
            </w:pPr>
            <w:r w:rsidRPr="008E67CE">
              <w:rPr>
                <w:rFonts w:ascii="Corbel" w:hAnsi="Corbel"/>
                <w:sz w:val="24"/>
              </w:rPr>
              <w:t xml:space="preserve">Vernant J.-P., </w:t>
            </w:r>
            <w:r w:rsidRPr="008E67CE">
              <w:rPr>
                <w:rFonts w:ascii="Corbel" w:hAnsi="Corbel"/>
                <w:i/>
                <w:sz w:val="24"/>
              </w:rPr>
              <w:t>Mit i religia w Grecji starożytnej</w:t>
            </w:r>
            <w:r w:rsidRPr="008E67CE">
              <w:rPr>
                <w:rFonts w:ascii="Corbel" w:hAnsi="Corbel"/>
                <w:sz w:val="24"/>
              </w:rPr>
              <w:t>,</w:t>
            </w:r>
            <w:r w:rsidRPr="008E67CE">
              <w:rPr>
                <w:rFonts w:ascii="Corbel" w:hAnsi="Corbel"/>
                <w:i/>
                <w:sz w:val="24"/>
              </w:rPr>
              <w:t xml:space="preserve"> </w:t>
            </w:r>
            <w:r w:rsidRPr="008E67CE">
              <w:rPr>
                <w:rFonts w:ascii="Corbel" w:hAnsi="Corbel"/>
                <w:sz w:val="24"/>
              </w:rPr>
              <w:t>przeł. K. Środa, Aletheia, Warszawa 1998</w:t>
            </w:r>
          </w:p>
          <w:p w:rsidR="008E67CE" w:rsidRDefault="008E67CE" w:rsidP="00465383">
            <w:pPr>
              <w:spacing w:after="0"/>
              <w:ind w:left="469" w:hanging="488"/>
              <w:jc w:val="both"/>
              <w:rPr>
                <w:rFonts w:ascii="Corbel" w:hAnsi="Corbel"/>
                <w:sz w:val="24"/>
              </w:rPr>
            </w:pPr>
            <w:r w:rsidRPr="008E67CE">
              <w:rPr>
                <w:rFonts w:ascii="Corbel" w:hAnsi="Corbel"/>
                <w:sz w:val="24"/>
              </w:rPr>
              <w:t xml:space="preserve">Zachariasz A.L., </w:t>
            </w:r>
            <w:r w:rsidRPr="008E67CE">
              <w:rPr>
                <w:rFonts w:ascii="Corbel" w:hAnsi="Corbel"/>
                <w:i/>
                <w:sz w:val="24"/>
              </w:rPr>
              <w:t>Filozofia. Jej istota i funkcje</w:t>
            </w:r>
            <w:r w:rsidRPr="008E67CE">
              <w:rPr>
                <w:rFonts w:ascii="Corbel" w:hAnsi="Corbel"/>
                <w:sz w:val="24"/>
              </w:rPr>
              <w:t>, Wydawnictwo Uniwersytetu Rzeszowskiego, Rzeszów 2002</w:t>
            </w:r>
          </w:p>
          <w:p w:rsidR="008C2761" w:rsidRPr="008C2761" w:rsidRDefault="008C2761" w:rsidP="008C27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8C2761">
              <w:rPr>
                <w:rFonts w:ascii="Corbel" w:hAnsi="Corbel"/>
                <w:b w:val="0"/>
                <w:smallCaps w:val="0"/>
              </w:rPr>
              <w:t>Literatura uzupełniająca:</w:t>
            </w:r>
          </w:p>
          <w:p w:rsidR="008C2761" w:rsidRPr="008C2761" w:rsidRDefault="008C2761" w:rsidP="008C2761">
            <w:pPr>
              <w:pStyle w:val="Punktygwne"/>
              <w:spacing w:before="0" w:after="0"/>
              <w:ind w:left="459" w:hanging="459"/>
              <w:jc w:val="both"/>
              <w:rPr>
                <w:rFonts w:ascii="Corbel" w:hAnsi="Corbel"/>
                <w:b w:val="0"/>
                <w:smallCaps w:val="0"/>
              </w:rPr>
            </w:pPr>
            <w:r w:rsidRPr="008C2761">
              <w:rPr>
                <w:rFonts w:ascii="Corbel" w:hAnsi="Corbel"/>
                <w:b w:val="0"/>
                <w:smallCaps w:val="0"/>
              </w:rPr>
              <w:t xml:space="preserve">Boardman J., </w:t>
            </w:r>
            <w:r w:rsidRPr="008C2761">
              <w:rPr>
                <w:rFonts w:ascii="Corbel" w:hAnsi="Corbel"/>
                <w:b w:val="0"/>
                <w:i/>
                <w:smallCaps w:val="0"/>
              </w:rPr>
              <w:t>Sztuka grecka</w:t>
            </w:r>
            <w:r w:rsidRPr="008C2761">
              <w:rPr>
                <w:rFonts w:ascii="Corbel" w:hAnsi="Corbel"/>
                <w:b w:val="0"/>
                <w:smallCaps w:val="0"/>
              </w:rPr>
              <w:t>, tłum. M. Burdajewicz, VIA, Toruń 1999</w:t>
            </w:r>
          </w:p>
          <w:p w:rsidR="008C2761" w:rsidRPr="008C2761" w:rsidRDefault="008C2761" w:rsidP="008C2761">
            <w:pPr>
              <w:pStyle w:val="Punktygwne"/>
              <w:spacing w:before="0" w:after="0"/>
              <w:ind w:left="459" w:hanging="459"/>
              <w:jc w:val="both"/>
              <w:rPr>
                <w:rFonts w:ascii="Corbel" w:hAnsi="Corbel"/>
                <w:b w:val="0"/>
                <w:smallCaps w:val="0"/>
              </w:rPr>
            </w:pPr>
            <w:r w:rsidRPr="008C2761">
              <w:rPr>
                <w:rFonts w:ascii="Corbel" w:hAnsi="Corbel"/>
                <w:b w:val="0"/>
                <w:smallCaps w:val="0"/>
              </w:rPr>
              <w:t xml:space="preserve">Flis A., </w:t>
            </w:r>
            <w:r w:rsidRPr="008C2761">
              <w:rPr>
                <w:rFonts w:ascii="Corbel" w:hAnsi="Corbel"/>
                <w:b w:val="0"/>
                <w:i/>
                <w:smallCaps w:val="0"/>
              </w:rPr>
              <w:t>Chrześcijaństwo i Europa. Studia z dziejów cywilizacji Zachodu</w:t>
            </w:r>
            <w:r w:rsidRPr="008C2761">
              <w:rPr>
                <w:rFonts w:ascii="Corbel" w:hAnsi="Corbel"/>
                <w:b w:val="0"/>
                <w:smallCaps w:val="0"/>
              </w:rPr>
              <w:t>, Nomos, Kraków 2001</w:t>
            </w:r>
          </w:p>
          <w:p w:rsidR="008C2761" w:rsidRPr="008C2761" w:rsidRDefault="008C2761" w:rsidP="008C2761">
            <w:pPr>
              <w:pStyle w:val="Punktygwne"/>
              <w:spacing w:before="0" w:after="0"/>
              <w:ind w:left="459" w:hanging="459"/>
              <w:jc w:val="both"/>
              <w:rPr>
                <w:rFonts w:ascii="Corbel" w:hAnsi="Corbel"/>
                <w:b w:val="0"/>
                <w:smallCaps w:val="0"/>
              </w:rPr>
            </w:pPr>
            <w:r w:rsidRPr="008C2761">
              <w:rPr>
                <w:rFonts w:ascii="Corbel" w:hAnsi="Corbel"/>
                <w:b w:val="0"/>
                <w:smallCaps w:val="0"/>
              </w:rPr>
              <w:t xml:space="preserve">Krawczyk R., </w:t>
            </w:r>
            <w:r w:rsidRPr="008C2761">
              <w:rPr>
                <w:rFonts w:ascii="Corbel" w:hAnsi="Corbel"/>
                <w:b w:val="0"/>
                <w:i/>
                <w:smallCaps w:val="0"/>
              </w:rPr>
              <w:t>Podstawy cywilizacji europejskiej</w:t>
            </w:r>
            <w:r w:rsidRPr="008C2761">
              <w:rPr>
                <w:rFonts w:ascii="Corbel" w:hAnsi="Corbel"/>
                <w:b w:val="0"/>
                <w:smallCaps w:val="0"/>
              </w:rPr>
              <w:t>, WSHiP im. R. Łazarskiego w Warszawie, Warszawa 2004</w:t>
            </w:r>
          </w:p>
          <w:p w:rsidR="008C2761" w:rsidRPr="008C2761" w:rsidRDefault="008C2761" w:rsidP="008C2761">
            <w:pPr>
              <w:spacing w:after="0" w:line="300" w:lineRule="auto"/>
              <w:jc w:val="both"/>
              <w:rPr>
                <w:rFonts w:ascii="Corbel" w:hAnsi="Corbel"/>
                <w:sz w:val="24"/>
              </w:rPr>
            </w:pPr>
            <w:r w:rsidRPr="008C2761">
              <w:rPr>
                <w:rFonts w:ascii="Corbel" w:hAnsi="Corbel"/>
                <w:sz w:val="24"/>
              </w:rPr>
              <w:t xml:space="preserve">Kuncewicz P., </w:t>
            </w:r>
            <w:r w:rsidRPr="008C2761">
              <w:rPr>
                <w:rFonts w:ascii="Corbel" w:hAnsi="Corbel"/>
                <w:i/>
                <w:sz w:val="24"/>
              </w:rPr>
              <w:t>Antyk zmęczonej Europy</w:t>
            </w:r>
            <w:r w:rsidRPr="008C2761">
              <w:rPr>
                <w:rFonts w:ascii="Corbel" w:hAnsi="Corbel"/>
                <w:sz w:val="24"/>
              </w:rPr>
              <w:t>, Nasza Księgarnia, Warszawa 1982</w:t>
            </w:r>
          </w:p>
          <w:p w:rsidR="008C2761" w:rsidRPr="008C2761" w:rsidRDefault="008C2761" w:rsidP="008C2761">
            <w:pPr>
              <w:spacing w:after="0" w:line="300" w:lineRule="auto"/>
              <w:ind w:left="459" w:hanging="459"/>
              <w:jc w:val="both"/>
              <w:rPr>
                <w:rFonts w:ascii="Corbel" w:hAnsi="Corbel"/>
                <w:sz w:val="24"/>
              </w:rPr>
            </w:pPr>
            <w:r w:rsidRPr="008C2761">
              <w:rPr>
                <w:rFonts w:ascii="Corbel" w:hAnsi="Corbel"/>
                <w:sz w:val="24"/>
              </w:rPr>
              <w:t xml:space="preserve">Kupis B., </w:t>
            </w:r>
            <w:r w:rsidRPr="008C2761">
              <w:rPr>
                <w:rFonts w:ascii="Corbel" w:hAnsi="Corbel"/>
                <w:i/>
                <w:sz w:val="24"/>
              </w:rPr>
              <w:t>Historia religii w starożytnej Grecji</w:t>
            </w:r>
            <w:r w:rsidRPr="008C2761">
              <w:rPr>
                <w:rFonts w:ascii="Corbel" w:hAnsi="Corbel"/>
                <w:sz w:val="24"/>
              </w:rPr>
              <w:t>, Krajowa Agencja Wydawnicza, Warszawa 1989</w:t>
            </w:r>
          </w:p>
          <w:p w:rsidR="008C2761" w:rsidRPr="008C2761" w:rsidRDefault="008C2761" w:rsidP="008C2761">
            <w:pPr>
              <w:spacing w:after="0" w:line="300" w:lineRule="auto"/>
              <w:ind w:left="459" w:hanging="459"/>
              <w:jc w:val="both"/>
              <w:rPr>
                <w:rFonts w:ascii="Corbel" w:hAnsi="Corbel"/>
                <w:sz w:val="24"/>
              </w:rPr>
            </w:pPr>
            <w:r w:rsidRPr="008C2761">
              <w:rPr>
                <w:rFonts w:ascii="Corbel" w:hAnsi="Corbel"/>
                <w:sz w:val="24"/>
              </w:rPr>
              <w:t xml:space="preserve">Lakoff G., Johnson M., </w:t>
            </w:r>
            <w:r w:rsidRPr="008C2761">
              <w:rPr>
                <w:rFonts w:ascii="Corbel" w:hAnsi="Corbel"/>
                <w:i/>
                <w:sz w:val="24"/>
              </w:rPr>
              <w:t>Metafory w naszym życiu</w:t>
            </w:r>
            <w:r w:rsidRPr="008C2761">
              <w:rPr>
                <w:rFonts w:ascii="Corbel" w:hAnsi="Corbel"/>
                <w:sz w:val="24"/>
              </w:rPr>
              <w:t>,</w:t>
            </w:r>
            <w:r w:rsidRPr="008C2761">
              <w:rPr>
                <w:rFonts w:ascii="Corbel" w:hAnsi="Corbel"/>
                <w:i/>
                <w:sz w:val="24"/>
              </w:rPr>
              <w:t xml:space="preserve"> </w:t>
            </w:r>
            <w:r w:rsidRPr="008C2761">
              <w:rPr>
                <w:rFonts w:ascii="Corbel" w:hAnsi="Corbel"/>
                <w:sz w:val="24"/>
              </w:rPr>
              <w:t>przeł. T. P. Krzeszowski, Wydawnictwo Aletheia, Warszawa 2010</w:t>
            </w:r>
          </w:p>
          <w:p w:rsidR="008C2761" w:rsidRPr="008C2761" w:rsidRDefault="008C2761" w:rsidP="008C2761">
            <w:pPr>
              <w:spacing w:after="0" w:line="300" w:lineRule="auto"/>
              <w:ind w:left="459" w:hanging="459"/>
              <w:jc w:val="both"/>
              <w:rPr>
                <w:rFonts w:ascii="Corbel" w:hAnsi="Corbel"/>
                <w:sz w:val="24"/>
              </w:rPr>
            </w:pPr>
            <w:r w:rsidRPr="008C2761">
              <w:rPr>
                <w:rFonts w:ascii="Corbel" w:hAnsi="Corbel"/>
                <w:sz w:val="24"/>
              </w:rPr>
              <w:t xml:space="preserve">Lurker M., </w:t>
            </w:r>
            <w:r w:rsidRPr="008C2761">
              <w:rPr>
                <w:rFonts w:ascii="Corbel" w:hAnsi="Corbel"/>
                <w:i/>
                <w:sz w:val="24"/>
              </w:rPr>
              <w:t>Słownik obrazów i symboli biblijnych</w:t>
            </w:r>
            <w:r w:rsidRPr="008C2761">
              <w:rPr>
                <w:rFonts w:ascii="Corbel" w:hAnsi="Corbel"/>
                <w:sz w:val="24"/>
              </w:rPr>
              <w:t>, tłum. K. Romaniuk, Pallottinum, Poznań 1989</w:t>
            </w:r>
          </w:p>
          <w:p w:rsidR="008C2761" w:rsidRPr="008C2761" w:rsidRDefault="008C2761" w:rsidP="008C2761">
            <w:pPr>
              <w:spacing w:after="0" w:line="300" w:lineRule="auto"/>
              <w:ind w:left="459" w:hanging="459"/>
              <w:jc w:val="both"/>
              <w:rPr>
                <w:rFonts w:ascii="Corbel" w:hAnsi="Corbel"/>
                <w:sz w:val="24"/>
              </w:rPr>
            </w:pPr>
            <w:r w:rsidRPr="008C2761">
              <w:rPr>
                <w:rFonts w:ascii="Corbel" w:hAnsi="Corbel"/>
                <w:sz w:val="24"/>
              </w:rPr>
              <w:t xml:space="preserve">Lurker M., </w:t>
            </w:r>
            <w:r w:rsidRPr="008C2761">
              <w:rPr>
                <w:rFonts w:ascii="Corbel" w:hAnsi="Corbel"/>
                <w:i/>
                <w:sz w:val="24"/>
              </w:rPr>
              <w:t>Przesłanie symboli w mitach, kulturach i religiach</w:t>
            </w:r>
            <w:r w:rsidRPr="008C2761">
              <w:rPr>
                <w:rFonts w:ascii="Corbel" w:hAnsi="Corbel"/>
                <w:sz w:val="24"/>
              </w:rPr>
              <w:t>,</w:t>
            </w:r>
            <w:r w:rsidRPr="008C2761">
              <w:rPr>
                <w:rFonts w:ascii="Corbel" w:hAnsi="Corbel"/>
                <w:i/>
                <w:sz w:val="24"/>
              </w:rPr>
              <w:t xml:space="preserve"> </w:t>
            </w:r>
            <w:r w:rsidRPr="008C2761">
              <w:rPr>
                <w:rFonts w:ascii="Corbel" w:hAnsi="Corbel"/>
                <w:sz w:val="24"/>
              </w:rPr>
              <w:t>przeł. R. Wojnakowski, Znak, Kraków 1994</w:t>
            </w:r>
          </w:p>
          <w:p w:rsidR="008C2761" w:rsidRPr="008C2761" w:rsidRDefault="008C2761" w:rsidP="008C2761">
            <w:pPr>
              <w:spacing w:after="0" w:line="300" w:lineRule="auto"/>
              <w:ind w:left="459" w:hanging="425"/>
              <w:jc w:val="both"/>
              <w:rPr>
                <w:rFonts w:ascii="Corbel" w:hAnsi="Corbel"/>
                <w:sz w:val="24"/>
              </w:rPr>
            </w:pPr>
            <w:r w:rsidRPr="008C2761">
              <w:rPr>
                <w:rFonts w:ascii="Corbel" w:hAnsi="Corbel"/>
                <w:sz w:val="24"/>
              </w:rPr>
              <w:lastRenderedPageBreak/>
              <w:t xml:space="preserve">Ong W. L., </w:t>
            </w:r>
            <w:r w:rsidRPr="008C2761">
              <w:rPr>
                <w:rFonts w:ascii="Corbel" w:hAnsi="Corbel"/>
                <w:i/>
                <w:sz w:val="24"/>
              </w:rPr>
              <w:t>Oralność i piśmienność. Słowo poddane technologii</w:t>
            </w:r>
            <w:r w:rsidRPr="008C2761">
              <w:rPr>
                <w:rFonts w:ascii="Corbel" w:hAnsi="Corbel"/>
                <w:sz w:val="24"/>
              </w:rPr>
              <w:t>,</w:t>
            </w:r>
            <w:r w:rsidRPr="008C2761">
              <w:rPr>
                <w:rFonts w:ascii="Corbel" w:hAnsi="Corbel"/>
                <w:i/>
                <w:sz w:val="24"/>
              </w:rPr>
              <w:t xml:space="preserve"> </w:t>
            </w:r>
            <w:r w:rsidRPr="008C2761">
              <w:rPr>
                <w:rFonts w:ascii="Corbel" w:hAnsi="Corbel"/>
                <w:sz w:val="24"/>
              </w:rPr>
              <w:t>przeł. J. Japola, Redakcja Wydawnictw KUL, Lublin 1992</w:t>
            </w:r>
          </w:p>
          <w:p w:rsidR="008C2761" w:rsidRPr="008C2761" w:rsidRDefault="008C2761" w:rsidP="008C2761">
            <w:pPr>
              <w:spacing w:after="0" w:line="300" w:lineRule="auto"/>
              <w:ind w:left="459" w:hanging="425"/>
              <w:jc w:val="both"/>
              <w:rPr>
                <w:rFonts w:ascii="Corbel" w:hAnsi="Corbel"/>
                <w:sz w:val="24"/>
              </w:rPr>
            </w:pPr>
            <w:r w:rsidRPr="008C2761">
              <w:rPr>
                <w:rFonts w:ascii="Corbel" w:hAnsi="Corbel"/>
                <w:sz w:val="24"/>
              </w:rPr>
              <w:t xml:space="preserve">Otto R., </w:t>
            </w:r>
            <w:r w:rsidRPr="008C2761">
              <w:rPr>
                <w:rFonts w:ascii="Corbel" w:hAnsi="Corbel"/>
                <w:i/>
                <w:sz w:val="24"/>
              </w:rPr>
              <w:t>Mistyka Wschodu i Zachodu. Analogie i różnice wyjaśniające jej istotę</w:t>
            </w:r>
            <w:r w:rsidRPr="008C2761">
              <w:rPr>
                <w:rFonts w:ascii="Corbel" w:hAnsi="Corbel"/>
                <w:sz w:val="24"/>
              </w:rPr>
              <w:t>,</w:t>
            </w:r>
            <w:r w:rsidRPr="008C2761">
              <w:rPr>
                <w:rFonts w:ascii="Corbel" w:hAnsi="Corbel"/>
                <w:i/>
                <w:sz w:val="24"/>
              </w:rPr>
              <w:t xml:space="preserve"> </w:t>
            </w:r>
            <w:r w:rsidRPr="008C2761">
              <w:rPr>
                <w:rFonts w:ascii="Corbel" w:hAnsi="Corbel"/>
                <w:sz w:val="24"/>
              </w:rPr>
              <w:t>przeł. T. Duliński, Wydawnictwo KR, Warszawa 2000</w:t>
            </w:r>
          </w:p>
          <w:p w:rsidR="008C2761" w:rsidRPr="008C2761" w:rsidRDefault="008C2761" w:rsidP="008C2761">
            <w:pPr>
              <w:spacing w:after="0" w:line="300" w:lineRule="auto"/>
              <w:ind w:left="459" w:hanging="425"/>
              <w:jc w:val="both"/>
              <w:rPr>
                <w:rFonts w:ascii="Corbel" w:hAnsi="Corbel"/>
                <w:sz w:val="24"/>
              </w:rPr>
            </w:pPr>
            <w:r w:rsidRPr="008C2761">
              <w:rPr>
                <w:rFonts w:ascii="Corbel" w:hAnsi="Corbel"/>
                <w:sz w:val="24"/>
              </w:rPr>
              <w:t xml:space="preserve">Świderkówna A., </w:t>
            </w:r>
            <w:r w:rsidRPr="008C2761">
              <w:rPr>
                <w:rFonts w:ascii="Corbel" w:hAnsi="Corbel"/>
                <w:i/>
                <w:sz w:val="24"/>
              </w:rPr>
              <w:t>Bogowie zeszli z Olimpu. Bóstwo i mit w greckiej literaturze świata hellenistycznego</w:t>
            </w:r>
            <w:r w:rsidRPr="008C2761">
              <w:rPr>
                <w:rFonts w:ascii="Corbel" w:hAnsi="Corbel"/>
                <w:sz w:val="24"/>
              </w:rPr>
              <w:t>, PWN, Warszawa 2008</w:t>
            </w:r>
          </w:p>
          <w:p w:rsidR="008C2761" w:rsidRPr="008C2761" w:rsidRDefault="008C2761" w:rsidP="008C2761">
            <w:pPr>
              <w:spacing w:after="0" w:line="300" w:lineRule="auto"/>
              <w:ind w:left="459" w:hanging="425"/>
              <w:jc w:val="both"/>
              <w:rPr>
                <w:rFonts w:ascii="Corbel" w:hAnsi="Corbel"/>
                <w:sz w:val="24"/>
              </w:rPr>
            </w:pPr>
            <w:r w:rsidRPr="008C2761">
              <w:rPr>
                <w:rFonts w:ascii="Corbel" w:hAnsi="Corbel"/>
                <w:sz w:val="24"/>
              </w:rPr>
              <w:t xml:space="preserve">Tarnas R., </w:t>
            </w:r>
            <w:r w:rsidRPr="008C2761">
              <w:rPr>
                <w:rFonts w:ascii="Corbel" w:hAnsi="Corbel"/>
                <w:i/>
                <w:sz w:val="24"/>
              </w:rPr>
              <w:t>Dzieje umysłowości zachodniej. Idee, które ukształtowały nasz światopogląd</w:t>
            </w:r>
            <w:r w:rsidRPr="008C2761">
              <w:rPr>
                <w:rFonts w:ascii="Corbel" w:hAnsi="Corbel"/>
                <w:sz w:val="24"/>
              </w:rPr>
              <w:t>, przeł. M. Filipczuk, J. Ruszkowski, Zysk i S-ka, Poznań 2002</w:t>
            </w:r>
          </w:p>
          <w:p w:rsidR="008C2761" w:rsidRPr="008C2761" w:rsidRDefault="008C2761" w:rsidP="008C2761">
            <w:pPr>
              <w:spacing w:after="0" w:line="300" w:lineRule="auto"/>
              <w:ind w:left="459" w:hanging="425"/>
              <w:jc w:val="both"/>
              <w:rPr>
                <w:rFonts w:ascii="Corbel" w:hAnsi="Corbel"/>
                <w:sz w:val="24"/>
              </w:rPr>
            </w:pPr>
            <w:r w:rsidRPr="008C2761">
              <w:rPr>
                <w:rFonts w:ascii="Corbel" w:hAnsi="Corbel"/>
                <w:sz w:val="24"/>
              </w:rPr>
              <w:t xml:space="preserve">Tatarkiewicz W., </w:t>
            </w:r>
            <w:r w:rsidRPr="008C2761">
              <w:rPr>
                <w:rFonts w:ascii="Corbel" w:hAnsi="Corbel"/>
                <w:i/>
                <w:sz w:val="24"/>
              </w:rPr>
              <w:t>Dzieje sześciu pojęć</w:t>
            </w:r>
            <w:r w:rsidRPr="008C2761">
              <w:rPr>
                <w:rFonts w:ascii="Corbel" w:hAnsi="Corbel"/>
                <w:sz w:val="24"/>
              </w:rPr>
              <w:t>, PWN, Warszawa 2005</w:t>
            </w:r>
          </w:p>
          <w:p w:rsidR="008C2761" w:rsidRPr="008C2761" w:rsidRDefault="008C2761" w:rsidP="008C2761">
            <w:pPr>
              <w:spacing w:after="0" w:line="300" w:lineRule="auto"/>
              <w:ind w:left="459" w:hanging="425"/>
              <w:jc w:val="both"/>
              <w:rPr>
                <w:rFonts w:ascii="Corbel" w:hAnsi="Corbel"/>
                <w:sz w:val="24"/>
              </w:rPr>
            </w:pPr>
            <w:r w:rsidRPr="008C2761">
              <w:rPr>
                <w:rFonts w:ascii="Corbel" w:hAnsi="Corbel"/>
                <w:sz w:val="24"/>
              </w:rPr>
              <w:t xml:space="preserve">Tatarkiewicz W., </w:t>
            </w:r>
            <w:r w:rsidRPr="008C2761">
              <w:rPr>
                <w:rFonts w:ascii="Corbel" w:hAnsi="Corbel"/>
                <w:i/>
                <w:sz w:val="24"/>
              </w:rPr>
              <w:t>Estetyka starożytna</w:t>
            </w:r>
            <w:r w:rsidRPr="008C2761">
              <w:rPr>
                <w:rFonts w:ascii="Corbel" w:hAnsi="Corbel"/>
                <w:sz w:val="24"/>
              </w:rPr>
              <w:t xml:space="preserve">, t. I, </w:t>
            </w:r>
            <w:r w:rsidRPr="008C2761">
              <w:rPr>
                <w:rFonts w:ascii="Corbel" w:hAnsi="Corbel"/>
                <w:i/>
                <w:sz w:val="24"/>
              </w:rPr>
              <w:t>Estetyka starożytna</w:t>
            </w:r>
            <w:r w:rsidRPr="008C2761">
              <w:rPr>
                <w:rFonts w:ascii="Corbel" w:hAnsi="Corbel"/>
                <w:sz w:val="24"/>
              </w:rPr>
              <w:t>, Wrocław-Warszawa-Kraków 1962</w:t>
            </w:r>
          </w:p>
          <w:p w:rsidR="008C2761" w:rsidRPr="008C2761" w:rsidRDefault="008C2761" w:rsidP="008C2761">
            <w:pPr>
              <w:spacing w:after="0"/>
              <w:ind w:left="459" w:hanging="459"/>
              <w:jc w:val="both"/>
              <w:rPr>
                <w:rFonts w:ascii="Corbel" w:hAnsi="Corbel"/>
                <w:sz w:val="24"/>
              </w:rPr>
            </w:pPr>
            <w:r w:rsidRPr="008C2761">
              <w:rPr>
                <w:rFonts w:ascii="Corbel" w:hAnsi="Corbel"/>
                <w:sz w:val="24"/>
              </w:rPr>
              <w:t xml:space="preserve">Vernant J.-P., </w:t>
            </w:r>
            <w:r w:rsidRPr="008C2761">
              <w:rPr>
                <w:rFonts w:ascii="Corbel" w:hAnsi="Corbel"/>
                <w:i/>
                <w:sz w:val="24"/>
              </w:rPr>
              <w:t xml:space="preserve">Źródła myśli greckiej, </w:t>
            </w:r>
            <w:r w:rsidRPr="008C2761">
              <w:rPr>
                <w:rFonts w:ascii="Corbel" w:hAnsi="Corbel"/>
                <w:sz w:val="24"/>
              </w:rPr>
              <w:t>przeł. J. Szacki, słowo/obraz terytoria, Gdańsk 1996</w:t>
            </w:r>
          </w:p>
          <w:p w:rsidR="008C2761" w:rsidRPr="008C2761" w:rsidRDefault="008C2761" w:rsidP="008C2761">
            <w:pPr>
              <w:spacing w:after="0"/>
              <w:ind w:left="459" w:hanging="459"/>
              <w:jc w:val="both"/>
              <w:rPr>
                <w:rFonts w:ascii="Corbel" w:hAnsi="Corbel"/>
                <w:sz w:val="24"/>
              </w:rPr>
            </w:pPr>
            <w:r w:rsidRPr="008C2761">
              <w:rPr>
                <w:rFonts w:ascii="Corbel" w:hAnsi="Corbel"/>
                <w:sz w:val="24"/>
              </w:rPr>
              <w:t xml:space="preserve">Vernant J.-P., (red.), </w:t>
            </w:r>
            <w:r w:rsidRPr="008C2761">
              <w:rPr>
                <w:rFonts w:ascii="Corbel" w:hAnsi="Corbel"/>
                <w:i/>
                <w:sz w:val="24"/>
              </w:rPr>
              <w:t xml:space="preserve">Człowiek Grecji, </w:t>
            </w:r>
            <w:r w:rsidRPr="008C2761">
              <w:rPr>
                <w:rFonts w:ascii="Corbel" w:hAnsi="Corbel"/>
                <w:sz w:val="24"/>
              </w:rPr>
              <w:t>przeł. P. Bravo, Ł. Niesiołowski-Spano, Świat Książki, Warszawa 2000</w:t>
            </w:r>
          </w:p>
          <w:p w:rsidR="008C2761" w:rsidRPr="007D1677" w:rsidRDefault="008C2761" w:rsidP="008C2761">
            <w:pPr>
              <w:spacing w:after="0"/>
              <w:ind w:left="469" w:hanging="488"/>
              <w:jc w:val="both"/>
              <w:rPr>
                <w:rFonts w:ascii="Times New Roman" w:hAnsi="Times New Roman"/>
              </w:rPr>
            </w:pPr>
            <w:r w:rsidRPr="008C2761">
              <w:rPr>
                <w:rFonts w:ascii="Corbel" w:hAnsi="Corbel"/>
                <w:sz w:val="24"/>
              </w:rPr>
              <w:t xml:space="preserve">Zieliński T., </w:t>
            </w:r>
            <w:r w:rsidRPr="008C2761">
              <w:rPr>
                <w:rFonts w:ascii="Corbel" w:hAnsi="Corbel"/>
                <w:i/>
                <w:sz w:val="24"/>
              </w:rPr>
              <w:t>Religia hellenizmu. Religia starożytnej Grecji</w:t>
            </w:r>
            <w:r w:rsidRPr="008C2761">
              <w:rPr>
                <w:rFonts w:ascii="Corbel" w:hAnsi="Corbel"/>
                <w:sz w:val="24"/>
              </w:rPr>
              <w:t>, Wydawnictwo Adam Marszałek, Toruń 2002</w:t>
            </w:r>
            <w:r w:rsidRPr="008C2761">
              <w:rPr>
                <w:rFonts w:ascii="Corbel" w:hAnsi="Corbel"/>
                <w:i/>
                <w:sz w:val="24"/>
              </w:rPr>
              <w:t xml:space="preserve"> 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E16" w:rsidRDefault="001B5E16" w:rsidP="00C16ABF">
      <w:pPr>
        <w:spacing w:after="0" w:line="240" w:lineRule="auto"/>
      </w:pPr>
      <w:r>
        <w:separator/>
      </w:r>
    </w:p>
  </w:endnote>
  <w:endnote w:type="continuationSeparator" w:id="0">
    <w:p w:rsidR="001B5E16" w:rsidRDefault="001B5E1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5E16" w:rsidRDefault="001B5E16" w:rsidP="00C16ABF">
      <w:pPr>
        <w:spacing w:after="0" w:line="240" w:lineRule="auto"/>
      </w:pPr>
      <w:r>
        <w:separator/>
      </w:r>
    </w:p>
  </w:footnote>
  <w:footnote w:type="continuationSeparator" w:id="0">
    <w:p w:rsidR="001B5E16" w:rsidRDefault="001B5E16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E9730C4"/>
    <w:multiLevelType w:val="hybridMultilevel"/>
    <w:tmpl w:val="916E92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9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15B8F"/>
    <w:rsid w:val="00022ECE"/>
    <w:rsid w:val="000366B9"/>
    <w:rsid w:val="00042A51"/>
    <w:rsid w:val="00042D2E"/>
    <w:rsid w:val="00044C82"/>
    <w:rsid w:val="00066CAE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374"/>
    <w:rsid w:val="000B3E37"/>
    <w:rsid w:val="000B6295"/>
    <w:rsid w:val="000C57B3"/>
    <w:rsid w:val="000D04B0"/>
    <w:rsid w:val="000F1C57"/>
    <w:rsid w:val="000F5615"/>
    <w:rsid w:val="00104B5B"/>
    <w:rsid w:val="00120EF3"/>
    <w:rsid w:val="00124BFF"/>
    <w:rsid w:val="0012560E"/>
    <w:rsid w:val="00127108"/>
    <w:rsid w:val="00134B13"/>
    <w:rsid w:val="00144339"/>
    <w:rsid w:val="00146BC0"/>
    <w:rsid w:val="00153C41"/>
    <w:rsid w:val="00154381"/>
    <w:rsid w:val="00155EFE"/>
    <w:rsid w:val="00156DF9"/>
    <w:rsid w:val="001640A7"/>
    <w:rsid w:val="00164FA7"/>
    <w:rsid w:val="00166A03"/>
    <w:rsid w:val="00167ADF"/>
    <w:rsid w:val="001718A7"/>
    <w:rsid w:val="001737CF"/>
    <w:rsid w:val="00176083"/>
    <w:rsid w:val="001770C7"/>
    <w:rsid w:val="00181FA0"/>
    <w:rsid w:val="00192F37"/>
    <w:rsid w:val="001A70D2"/>
    <w:rsid w:val="001A7F66"/>
    <w:rsid w:val="001B3F6E"/>
    <w:rsid w:val="001B5E16"/>
    <w:rsid w:val="001D657B"/>
    <w:rsid w:val="001D7B54"/>
    <w:rsid w:val="001E0209"/>
    <w:rsid w:val="001E5A94"/>
    <w:rsid w:val="001F2CA2"/>
    <w:rsid w:val="002144C0"/>
    <w:rsid w:val="00222EC3"/>
    <w:rsid w:val="0022477D"/>
    <w:rsid w:val="002278A9"/>
    <w:rsid w:val="002336F9"/>
    <w:rsid w:val="0024028F"/>
    <w:rsid w:val="00244ABC"/>
    <w:rsid w:val="00281FF2"/>
    <w:rsid w:val="002857DE"/>
    <w:rsid w:val="00291567"/>
    <w:rsid w:val="00292C17"/>
    <w:rsid w:val="002A0B32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5EDB"/>
    <w:rsid w:val="002F02A3"/>
    <w:rsid w:val="002F4ABE"/>
    <w:rsid w:val="003018BA"/>
    <w:rsid w:val="0030395F"/>
    <w:rsid w:val="00305C92"/>
    <w:rsid w:val="00306387"/>
    <w:rsid w:val="003151C5"/>
    <w:rsid w:val="003343CF"/>
    <w:rsid w:val="00346FE9"/>
    <w:rsid w:val="0034759A"/>
    <w:rsid w:val="003503F6"/>
    <w:rsid w:val="003530DD"/>
    <w:rsid w:val="00357EC8"/>
    <w:rsid w:val="00363F78"/>
    <w:rsid w:val="00390D46"/>
    <w:rsid w:val="003A0A5B"/>
    <w:rsid w:val="003A1176"/>
    <w:rsid w:val="003C0BAE"/>
    <w:rsid w:val="003C0CC7"/>
    <w:rsid w:val="003D18A9"/>
    <w:rsid w:val="003D3938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22AD"/>
    <w:rsid w:val="00464284"/>
    <w:rsid w:val="004652C2"/>
    <w:rsid w:val="004706D1"/>
    <w:rsid w:val="00471326"/>
    <w:rsid w:val="0047598D"/>
    <w:rsid w:val="0048170A"/>
    <w:rsid w:val="004840FD"/>
    <w:rsid w:val="00490F7D"/>
    <w:rsid w:val="00491678"/>
    <w:rsid w:val="004968E2"/>
    <w:rsid w:val="004A3EEA"/>
    <w:rsid w:val="004A4D1F"/>
    <w:rsid w:val="004B323A"/>
    <w:rsid w:val="004D5282"/>
    <w:rsid w:val="004E1720"/>
    <w:rsid w:val="004F1551"/>
    <w:rsid w:val="004F55A3"/>
    <w:rsid w:val="0050496F"/>
    <w:rsid w:val="00513B6F"/>
    <w:rsid w:val="00515B02"/>
    <w:rsid w:val="00517C63"/>
    <w:rsid w:val="0052515D"/>
    <w:rsid w:val="005363C4"/>
    <w:rsid w:val="00536BDE"/>
    <w:rsid w:val="005417C3"/>
    <w:rsid w:val="00543ACC"/>
    <w:rsid w:val="00566847"/>
    <w:rsid w:val="0056696D"/>
    <w:rsid w:val="00572847"/>
    <w:rsid w:val="0059484D"/>
    <w:rsid w:val="00597C41"/>
    <w:rsid w:val="005A0855"/>
    <w:rsid w:val="005A3196"/>
    <w:rsid w:val="005A3B6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627AA"/>
    <w:rsid w:val="00671958"/>
    <w:rsid w:val="00675843"/>
    <w:rsid w:val="00696477"/>
    <w:rsid w:val="006D050F"/>
    <w:rsid w:val="006D5642"/>
    <w:rsid w:val="006D6139"/>
    <w:rsid w:val="006E1E7A"/>
    <w:rsid w:val="006E4F25"/>
    <w:rsid w:val="006E5D65"/>
    <w:rsid w:val="006F1282"/>
    <w:rsid w:val="006F1FBC"/>
    <w:rsid w:val="006F31E2"/>
    <w:rsid w:val="00703A7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506B"/>
    <w:rsid w:val="00787C2A"/>
    <w:rsid w:val="00790E27"/>
    <w:rsid w:val="007A4022"/>
    <w:rsid w:val="007A6E6E"/>
    <w:rsid w:val="007C3299"/>
    <w:rsid w:val="007C3BCC"/>
    <w:rsid w:val="007C4546"/>
    <w:rsid w:val="007C71D9"/>
    <w:rsid w:val="007D6E56"/>
    <w:rsid w:val="007F1652"/>
    <w:rsid w:val="007F4155"/>
    <w:rsid w:val="0081554D"/>
    <w:rsid w:val="0081707E"/>
    <w:rsid w:val="008238F4"/>
    <w:rsid w:val="008449B3"/>
    <w:rsid w:val="0085747A"/>
    <w:rsid w:val="00884922"/>
    <w:rsid w:val="00885F64"/>
    <w:rsid w:val="008917F9"/>
    <w:rsid w:val="008954C1"/>
    <w:rsid w:val="008A45F7"/>
    <w:rsid w:val="008B4750"/>
    <w:rsid w:val="008C0CC0"/>
    <w:rsid w:val="008C19A9"/>
    <w:rsid w:val="008C2761"/>
    <w:rsid w:val="008C379D"/>
    <w:rsid w:val="008C5147"/>
    <w:rsid w:val="008C5359"/>
    <w:rsid w:val="008C5363"/>
    <w:rsid w:val="008D3DFB"/>
    <w:rsid w:val="008E28EA"/>
    <w:rsid w:val="008E64F4"/>
    <w:rsid w:val="008E67CE"/>
    <w:rsid w:val="008F12C9"/>
    <w:rsid w:val="008F6E29"/>
    <w:rsid w:val="00916188"/>
    <w:rsid w:val="00923D7D"/>
    <w:rsid w:val="009508DF"/>
    <w:rsid w:val="00950DAC"/>
    <w:rsid w:val="00954A07"/>
    <w:rsid w:val="00957459"/>
    <w:rsid w:val="009745C0"/>
    <w:rsid w:val="00997F14"/>
    <w:rsid w:val="009A78D9"/>
    <w:rsid w:val="009C08BD"/>
    <w:rsid w:val="009C1331"/>
    <w:rsid w:val="009C2C7C"/>
    <w:rsid w:val="009C3E31"/>
    <w:rsid w:val="009C54AE"/>
    <w:rsid w:val="009C788E"/>
    <w:rsid w:val="009D0B1C"/>
    <w:rsid w:val="009E3B41"/>
    <w:rsid w:val="009F3C5C"/>
    <w:rsid w:val="009F4610"/>
    <w:rsid w:val="00A00ECC"/>
    <w:rsid w:val="00A04859"/>
    <w:rsid w:val="00A155EE"/>
    <w:rsid w:val="00A1672D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348D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1897"/>
    <w:rsid w:val="00B75946"/>
    <w:rsid w:val="00B8056E"/>
    <w:rsid w:val="00B819C8"/>
    <w:rsid w:val="00B82308"/>
    <w:rsid w:val="00B87573"/>
    <w:rsid w:val="00B90885"/>
    <w:rsid w:val="00BA1ABB"/>
    <w:rsid w:val="00BB520A"/>
    <w:rsid w:val="00BD26A5"/>
    <w:rsid w:val="00BD3869"/>
    <w:rsid w:val="00BD66E9"/>
    <w:rsid w:val="00BD6FF4"/>
    <w:rsid w:val="00BF2C41"/>
    <w:rsid w:val="00BF7329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140C"/>
    <w:rsid w:val="00C93E3F"/>
    <w:rsid w:val="00C94B98"/>
    <w:rsid w:val="00CA2B96"/>
    <w:rsid w:val="00CA5089"/>
    <w:rsid w:val="00CB481D"/>
    <w:rsid w:val="00CD366B"/>
    <w:rsid w:val="00CD6897"/>
    <w:rsid w:val="00CE5BAC"/>
    <w:rsid w:val="00CF150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56119"/>
    <w:rsid w:val="00D608D1"/>
    <w:rsid w:val="00D64285"/>
    <w:rsid w:val="00D74119"/>
    <w:rsid w:val="00D77A86"/>
    <w:rsid w:val="00D8075B"/>
    <w:rsid w:val="00D8678B"/>
    <w:rsid w:val="00DA2114"/>
    <w:rsid w:val="00DC3990"/>
    <w:rsid w:val="00DD7FC1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0EC2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434F"/>
    <w:rsid w:val="00EE5457"/>
    <w:rsid w:val="00EF37A1"/>
    <w:rsid w:val="00F070AB"/>
    <w:rsid w:val="00F12C6A"/>
    <w:rsid w:val="00F17567"/>
    <w:rsid w:val="00F27A7B"/>
    <w:rsid w:val="00F526AF"/>
    <w:rsid w:val="00F5501E"/>
    <w:rsid w:val="00F617C3"/>
    <w:rsid w:val="00F7066B"/>
    <w:rsid w:val="00F750CA"/>
    <w:rsid w:val="00F83B28"/>
    <w:rsid w:val="00F91EE6"/>
    <w:rsid w:val="00FA46E5"/>
    <w:rsid w:val="00FA479E"/>
    <w:rsid w:val="00FA5875"/>
    <w:rsid w:val="00FB7DBA"/>
    <w:rsid w:val="00FC1C25"/>
    <w:rsid w:val="00FC3F45"/>
    <w:rsid w:val="00FC7F10"/>
    <w:rsid w:val="00FD503F"/>
    <w:rsid w:val="00FD58A0"/>
    <w:rsid w:val="00FD7589"/>
    <w:rsid w:val="00FE62FF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DF95F1-815D-4064-9593-D2C8EC1D3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rsid w:val="00FA5875"/>
    <w:rPr>
      <w:b/>
      <w:smallCaps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30030-4D7A-4780-908F-DE7B029E5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76</TotalTime>
  <Pages>1</Pages>
  <Words>2895</Words>
  <Characters>17376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Marcin</cp:lastModifiedBy>
  <cp:revision>95</cp:revision>
  <cp:lastPrinted>2019-02-06T12:12:00Z</cp:lastPrinted>
  <dcterms:created xsi:type="dcterms:W3CDTF">2019-03-06T14:29:00Z</dcterms:created>
  <dcterms:modified xsi:type="dcterms:W3CDTF">2021-09-29T20:00:00Z</dcterms:modified>
</cp:coreProperties>
</file>